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67D1" w14:textId="0FDE381C" w:rsidR="00DD3584" w:rsidRPr="000E673C" w:rsidRDefault="00B93A94" w:rsidP="007F1DD2">
      <w:pPr>
        <w:jc w:val="center"/>
        <w:rPr>
          <w:lang w:val="fr-FR"/>
        </w:rPr>
      </w:pPr>
      <w:bookmarkStart w:id="0" w:name="0-heading-nodeId--245097714"/>
      <w:r w:rsidRPr="000E673C">
        <w:rPr>
          <w:b/>
          <w:color w:val="000000"/>
          <w:lang w:val="fr-FR"/>
        </w:rPr>
        <w:t>OPPOSITION N°B 3 233 153 </w:t>
      </w:r>
    </w:p>
    <w:p w14:paraId="0B5467D2" w14:textId="12C5A643" w:rsidR="00DD3584" w:rsidRPr="000E673C" w:rsidRDefault="00B93A94" w:rsidP="007F1DD2">
      <w:pPr>
        <w:jc w:val="center"/>
        <w:rPr>
          <w:lang w:val="fr-FR"/>
        </w:rPr>
      </w:pPr>
      <w:r w:rsidRPr="000E673C">
        <w:rPr>
          <w:color w:val="000000"/>
          <w:lang w:val="fr-FR"/>
        </w:rPr>
        <w:t> </w:t>
      </w:r>
    </w:p>
    <w:p w14:paraId="0B5467D3" w14:textId="1FE71BCE" w:rsidR="00DD3584" w:rsidRPr="000E673C" w:rsidRDefault="00B93A94" w:rsidP="007F1DD2">
      <w:pPr>
        <w:jc w:val="both"/>
        <w:rPr>
          <w:lang w:val="fr-FR"/>
        </w:rPr>
      </w:pPr>
      <w:proofErr w:type="spellStart"/>
      <w:r w:rsidRPr="000E673C">
        <w:rPr>
          <w:b/>
          <w:color w:val="000000"/>
          <w:lang w:val="fr-FR"/>
        </w:rPr>
        <w:t>Hermes</w:t>
      </w:r>
      <w:proofErr w:type="spellEnd"/>
      <w:r w:rsidRPr="000E673C">
        <w:rPr>
          <w:b/>
          <w:color w:val="000000"/>
          <w:lang w:val="fr-FR"/>
        </w:rPr>
        <w:t xml:space="preserve"> International</w:t>
      </w:r>
      <w:r w:rsidR="002E78D8" w:rsidRPr="000E673C">
        <w:rPr>
          <w:b/>
          <w:color w:val="000000"/>
          <w:lang w:val="fr-FR"/>
        </w:rPr>
        <w:t>, SCA</w:t>
      </w:r>
      <w:r w:rsidRPr="000E673C">
        <w:rPr>
          <w:color w:val="000000"/>
          <w:lang w:val="fr-FR"/>
        </w:rPr>
        <w:t xml:space="preserve">, 24, rue du Faubourg Saint-Honoré, 75008 </w:t>
      </w:r>
      <w:r w:rsidR="002E78D8" w:rsidRPr="000E673C">
        <w:rPr>
          <w:color w:val="000000"/>
          <w:lang w:val="fr-FR"/>
        </w:rPr>
        <w:t>Paris</w:t>
      </w:r>
      <w:r w:rsidRPr="000E673C">
        <w:rPr>
          <w:color w:val="000000"/>
          <w:lang w:val="fr-FR"/>
        </w:rPr>
        <w:t xml:space="preserve">, France (opposante), représentée par </w:t>
      </w:r>
      <w:r w:rsidRPr="000E673C">
        <w:rPr>
          <w:b/>
          <w:color w:val="000000"/>
          <w:lang w:val="fr-FR"/>
        </w:rPr>
        <w:t xml:space="preserve">Duclos, </w:t>
      </w:r>
      <w:proofErr w:type="spellStart"/>
      <w:r w:rsidRPr="000E673C">
        <w:rPr>
          <w:b/>
          <w:color w:val="000000"/>
          <w:lang w:val="fr-FR"/>
        </w:rPr>
        <w:t>Thorne</w:t>
      </w:r>
      <w:proofErr w:type="spellEnd"/>
      <w:r w:rsidRPr="000E673C">
        <w:rPr>
          <w:b/>
          <w:color w:val="000000"/>
          <w:lang w:val="fr-FR"/>
        </w:rPr>
        <w:t>, Mollet-</w:t>
      </w:r>
      <w:proofErr w:type="spellStart"/>
      <w:r w:rsidRPr="000E673C">
        <w:rPr>
          <w:b/>
          <w:color w:val="000000"/>
          <w:lang w:val="fr-FR"/>
        </w:rPr>
        <w:t>Vieville</w:t>
      </w:r>
      <w:proofErr w:type="spellEnd"/>
      <w:r w:rsidRPr="000E673C">
        <w:rPr>
          <w:b/>
          <w:color w:val="000000"/>
          <w:lang w:val="fr-FR"/>
        </w:rPr>
        <w:t xml:space="preserve"> </w:t>
      </w:r>
      <w:r w:rsidR="002E78D8" w:rsidRPr="000E673C">
        <w:rPr>
          <w:b/>
          <w:color w:val="000000"/>
          <w:lang w:val="fr-FR"/>
        </w:rPr>
        <w:t>e</w:t>
      </w:r>
      <w:r w:rsidRPr="000E673C">
        <w:rPr>
          <w:b/>
          <w:color w:val="000000"/>
          <w:lang w:val="fr-FR"/>
        </w:rPr>
        <w:t>t Associ</w:t>
      </w:r>
      <w:r w:rsidR="002E78D8" w:rsidRPr="000E673C">
        <w:rPr>
          <w:b/>
          <w:color w:val="000000"/>
          <w:lang w:val="fr-FR"/>
        </w:rPr>
        <w:t>é</w:t>
      </w:r>
      <w:r w:rsidRPr="000E673C">
        <w:rPr>
          <w:b/>
          <w:color w:val="000000"/>
          <w:lang w:val="fr-FR"/>
        </w:rPr>
        <w:t>s</w:t>
      </w:r>
      <w:r w:rsidRPr="000E673C">
        <w:rPr>
          <w:color w:val="000000"/>
          <w:lang w:val="fr-FR"/>
        </w:rPr>
        <w:t>, 164, rue du Faubourg Saint-Honoré, 75008 Paris, France (représentant professionnel)</w:t>
      </w:r>
    </w:p>
    <w:p w14:paraId="0B5467D4" w14:textId="58BAFA3F" w:rsidR="00DD3584" w:rsidRPr="000E673C" w:rsidRDefault="00B93A94" w:rsidP="007F1DD2">
      <w:pPr>
        <w:jc w:val="center"/>
        <w:rPr>
          <w:lang w:val="fr-FR"/>
        </w:rPr>
      </w:pPr>
      <w:r w:rsidRPr="000E673C">
        <w:rPr>
          <w:color w:val="000000"/>
          <w:lang w:val="fr-FR"/>
        </w:rPr>
        <w:t> </w:t>
      </w:r>
    </w:p>
    <w:p w14:paraId="0B5467D5" w14:textId="77777777" w:rsidR="00DD3584" w:rsidRPr="000E673C" w:rsidRDefault="00B93A94" w:rsidP="007F1DD2">
      <w:pPr>
        <w:jc w:val="center"/>
        <w:rPr>
          <w:lang w:val="fr-FR"/>
        </w:rPr>
      </w:pPr>
      <w:r w:rsidRPr="000E673C">
        <w:rPr>
          <w:color w:val="000000"/>
          <w:lang w:val="fr-FR"/>
        </w:rPr>
        <w:t>c o n t r e</w:t>
      </w:r>
    </w:p>
    <w:p w14:paraId="0B5467D6" w14:textId="7F557DF1" w:rsidR="00DD3584" w:rsidRPr="000E673C" w:rsidRDefault="00B93A94" w:rsidP="007F1DD2">
      <w:pPr>
        <w:jc w:val="center"/>
        <w:rPr>
          <w:lang w:val="fr-FR"/>
        </w:rPr>
      </w:pPr>
      <w:r w:rsidRPr="000E673C">
        <w:rPr>
          <w:color w:val="000000"/>
          <w:lang w:val="fr-FR"/>
        </w:rPr>
        <w:t> </w:t>
      </w:r>
    </w:p>
    <w:p w14:paraId="3872D3E9" w14:textId="77777777" w:rsidR="000E673C" w:rsidRPr="000E673C" w:rsidRDefault="00B93A94" w:rsidP="007F1DD2">
      <w:pPr>
        <w:jc w:val="both"/>
        <w:rPr>
          <w:lang w:val="fr-FR"/>
        </w:rPr>
      </w:pPr>
      <w:r w:rsidRPr="000E673C">
        <w:rPr>
          <w:b/>
          <w:color w:val="000000"/>
          <w:lang w:val="fr-FR"/>
        </w:rPr>
        <w:t>Europe Design Center S</w:t>
      </w:r>
      <w:r w:rsidR="002E78D8" w:rsidRPr="000E673C">
        <w:rPr>
          <w:b/>
          <w:color w:val="000000"/>
          <w:lang w:val="fr-FR"/>
        </w:rPr>
        <w:t>AS</w:t>
      </w:r>
      <w:r w:rsidRPr="000E673C">
        <w:rPr>
          <w:color w:val="000000"/>
          <w:lang w:val="fr-FR"/>
        </w:rPr>
        <w:t xml:space="preserve">, 34 Avenue des </w:t>
      </w:r>
      <w:proofErr w:type="spellStart"/>
      <w:r w:rsidRPr="000E673C">
        <w:rPr>
          <w:color w:val="000000"/>
          <w:lang w:val="fr-FR"/>
        </w:rPr>
        <w:t>Champs-Elysees</w:t>
      </w:r>
      <w:proofErr w:type="spellEnd"/>
      <w:r w:rsidRPr="000E673C">
        <w:rPr>
          <w:color w:val="000000"/>
          <w:lang w:val="fr-FR"/>
        </w:rPr>
        <w:t>, 75008 Paris, France (demanderesse)</w:t>
      </w:r>
      <w:r w:rsidR="002E78D8" w:rsidRPr="000E673C">
        <w:rPr>
          <w:color w:val="000000"/>
          <w:lang w:val="fr-FR"/>
        </w:rPr>
        <w:t>.</w:t>
      </w:r>
    </w:p>
    <w:p w14:paraId="0B5467D9" w14:textId="28386E2F" w:rsidR="000E673C" w:rsidRPr="000E673C" w:rsidRDefault="000E673C" w:rsidP="007F1DD2">
      <w:pPr>
        <w:jc w:val="both"/>
        <w:rPr>
          <w:lang w:val="fr-FR"/>
        </w:rPr>
      </w:pPr>
    </w:p>
    <w:p w14:paraId="6280B080" w14:textId="77777777" w:rsidR="00DD3584" w:rsidRPr="000E673C" w:rsidRDefault="000E673C" w:rsidP="007F1DD2">
      <w:pPr>
        <w:jc w:val="both"/>
        <w:rPr>
          <w:lang w:val="fr-FR"/>
        </w:rPr>
      </w:pPr>
      <w:r w:rsidRPr="000E673C">
        <w:rPr>
          <w:lang w:val="fr-FR"/>
        </w:rPr>
        <w:t>Le 13/11/2025, la division d’opposition rend la présente</w:t>
      </w:r>
    </w:p>
    <w:p w14:paraId="0B5467DA" w14:textId="77777777" w:rsidR="00DD3584" w:rsidRPr="000E673C" w:rsidRDefault="00DD3584" w:rsidP="007F1DD2">
      <w:pPr>
        <w:jc w:val="both"/>
        <w:rPr>
          <w:lang w:val="fr-FR"/>
        </w:rPr>
      </w:pPr>
    </w:p>
    <w:p w14:paraId="0B5467DD" w14:textId="2A9FCE73" w:rsidR="00DD3584" w:rsidRPr="000E673C" w:rsidRDefault="00B93A94" w:rsidP="007F1DD2">
      <w:pPr>
        <w:jc w:val="center"/>
        <w:rPr>
          <w:lang w:val="fr-FR"/>
        </w:rPr>
      </w:pPr>
      <w:r w:rsidRPr="000E673C">
        <w:rPr>
          <w:color w:val="000000"/>
          <w:lang w:val="fr-FR"/>
        </w:rPr>
        <w:t> </w:t>
      </w:r>
    </w:p>
    <w:p w14:paraId="0B5467DE" w14:textId="4141C567" w:rsidR="00DD3584" w:rsidRPr="000E673C" w:rsidRDefault="00B93A94" w:rsidP="007F1DD2">
      <w:pPr>
        <w:jc w:val="center"/>
      </w:pPr>
      <w:r w:rsidRPr="000E673C">
        <w:rPr>
          <w:b/>
          <w:color w:val="000000"/>
        </w:rPr>
        <w:t>DECISION:</w:t>
      </w:r>
    </w:p>
    <w:p w14:paraId="0B5467DF" w14:textId="10D01D4C" w:rsidR="00DD3584" w:rsidRPr="000E673C" w:rsidRDefault="00B93A94" w:rsidP="007F1DD2">
      <w:r w:rsidRPr="000E673C">
        <w:rPr>
          <w:color w:val="000000"/>
        </w:rPr>
        <w:t> </w:t>
      </w:r>
    </w:p>
    <w:tbl>
      <w:tblPr>
        <w:tblW w:w="0" w:type="auto"/>
        <w:tblCellSpacing w:w="0" w:type="auto"/>
        <w:tblLook w:val="04A0" w:firstRow="1" w:lastRow="0" w:firstColumn="1" w:lastColumn="0" w:noHBand="0" w:noVBand="1"/>
      </w:tblPr>
      <w:tblGrid>
        <w:gridCol w:w="453"/>
        <w:gridCol w:w="8574"/>
      </w:tblGrid>
      <w:tr w:rsidR="00DD3584" w:rsidRPr="000E673C" w14:paraId="0B5467E3" w14:textId="77777777" w:rsidTr="002E78D8">
        <w:trPr>
          <w:trHeight w:val="30"/>
          <w:tblCellSpacing w:w="0" w:type="auto"/>
        </w:trPr>
        <w:tc>
          <w:tcPr>
            <w:tcW w:w="453" w:type="dxa"/>
            <w:tcMar>
              <w:top w:w="15" w:type="dxa"/>
              <w:left w:w="15" w:type="dxa"/>
              <w:bottom w:w="15" w:type="dxa"/>
              <w:right w:w="15" w:type="dxa"/>
            </w:tcMar>
          </w:tcPr>
          <w:p w14:paraId="0B5467E1" w14:textId="040426E8" w:rsidR="00DD3584" w:rsidRPr="000E673C" w:rsidRDefault="00B93A94" w:rsidP="007F1DD2">
            <w:pPr>
              <w:jc w:val="both"/>
            </w:pPr>
            <w:bookmarkStart w:id="1" w:name="chk-paragraph-2-1_nodeId--1267695376"/>
            <w:bookmarkEnd w:id="0"/>
            <w:r w:rsidRPr="000E673C">
              <w:rPr>
                <w:b/>
                <w:color w:val="000000"/>
              </w:rPr>
              <w:t>  1.</w:t>
            </w:r>
          </w:p>
        </w:tc>
        <w:tc>
          <w:tcPr>
            <w:tcW w:w="8604" w:type="dxa"/>
            <w:tcMar>
              <w:top w:w="15" w:type="dxa"/>
              <w:left w:w="15" w:type="dxa"/>
              <w:bottom w:w="15" w:type="dxa"/>
              <w:right w:w="15" w:type="dxa"/>
            </w:tcMar>
          </w:tcPr>
          <w:p w14:paraId="0B5467E2" w14:textId="294E8CFC" w:rsidR="00DD3584" w:rsidRPr="000E673C" w:rsidRDefault="00B93A94" w:rsidP="007F1DD2">
            <w:pPr>
              <w:jc w:val="both"/>
              <w:rPr>
                <w:lang w:val="fr-FR"/>
              </w:rPr>
            </w:pPr>
            <w:r w:rsidRPr="000E673C">
              <w:rPr>
                <w:color w:val="000000"/>
                <w:lang w:val="fr-FR"/>
              </w:rPr>
              <w:t>L’opposition n° B 3 233 153 est accueillie pour tous les produits et services contestés.</w:t>
            </w:r>
          </w:p>
        </w:tc>
      </w:tr>
    </w:tbl>
    <w:p w14:paraId="0B5467E4" w14:textId="5AB30EBE" w:rsidR="00DD3584" w:rsidRPr="000E673C" w:rsidRDefault="00B93A94" w:rsidP="007F1DD2">
      <w:pPr>
        <w:jc w:val="both"/>
        <w:rPr>
          <w:lang w:val="fr-FR"/>
        </w:rPr>
      </w:pPr>
      <w:r w:rsidRPr="000E673C">
        <w:rPr>
          <w:color w:val="000000"/>
          <w:lang w:val="fr-FR"/>
        </w:rPr>
        <w:t> </w:t>
      </w:r>
    </w:p>
    <w:tbl>
      <w:tblPr>
        <w:tblW w:w="0" w:type="auto"/>
        <w:tblCellSpacing w:w="0" w:type="auto"/>
        <w:tblLook w:val="04A0" w:firstRow="1" w:lastRow="0" w:firstColumn="1" w:lastColumn="0" w:noHBand="0" w:noVBand="1"/>
      </w:tblPr>
      <w:tblGrid>
        <w:gridCol w:w="520"/>
        <w:gridCol w:w="8507"/>
      </w:tblGrid>
      <w:tr w:rsidR="00DD3584" w:rsidRPr="000E673C" w14:paraId="0B5467E8" w14:textId="77777777" w:rsidTr="002E78D8">
        <w:trPr>
          <w:trHeight w:val="30"/>
          <w:tblCellSpacing w:w="0" w:type="auto"/>
        </w:trPr>
        <w:tc>
          <w:tcPr>
            <w:tcW w:w="521" w:type="dxa"/>
            <w:tcMar>
              <w:top w:w="15" w:type="dxa"/>
              <w:left w:w="15" w:type="dxa"/>
              <w:bottom w:w="15" w:type="dxa"/>
              <w:right w:w="15" w:type="dxa"/>
            </w:tcMar>
          </w:tcPr>
          <w:p w14:paraId="0B5467E6" w14:textId="1DD6DFC6" w:rsidR="00DD3584" w:rsidRPr="000E673C" w:rsidRDefault="00B93A94" w:rsidP="007F1DD2">
            <w:pPr>
              <w:jc w:val="both"/>
            </w:pPr>
            <w:bookmarkStart w:id="2" w:name="chk-paragraph-2-1-1_nodeId--553874705"/>
            <w:bookmarkEnd w:id="1"/>
            <w:r w:rsidRPr="000E673C">
              <w:rPr>
                <w:b/>
                <w:color w:val="000000"/>
                <w:lang w:val="fr-FR"/>
              </w:rPr>
              <w:t>  </w:t>
            </w:r>
            <w:r w:rsidRPr="000E673C">
              <w:rPr>
                <w:b/>
                <w:color w:val="000000"/>
              </w:rPr>
              <w:t>2.</w:t>
            </w:r>
          </w:p>
        </w:tc>
        <w:tc>
          <w:tcPr>
            <w:tcW w:w="8536" w:type="dxa"/>
            <w:tcMar>
              <w:top w:w="15" w:type="dxa"/>
              <w:left w:w="15" w:type="dxa"/>
              <w:bottom w:w="15" w:type="dxa"/>
              <w:right w:w="15" w:type="dxa"/>
            </w:tcMar>
          </w:tcPr>
          <w:p w14:paraId="0B5467E7" w14:textId="24DD9AB6" w:rsidR="00DD3584" w:rsidRPr="000E673C" w:rsidRDefault="00B93A94" w:rsidP="007F1DD2">
            <w:pPr>
              <w:jc w:val="both"/>
              <w:rPr>
                <w:lang w:val="fr-FR"/>
              </w:rPr>
            </w:pPr>
            <w:r w:rsidRPr="000E673C">
              <w:rPr>
                <w:color w:val="000000"/>
                <w:lang w:val="fr-FR"/>
              </w:rPr>
              <w:t>La demande de marque de l’Union européenne n° 19 075 905 est rejetée dans son intégralité.</w:t>
            </w:r>
          </w:p>
        </w:tc>
      </w:tr>
    </w:tbl>
    <w:p w14:paraId="0B5467E9" w14:textId="77777777" w:rsidR="00DD3584" w:rsidRPr="000E673C" w:rsidRDefault="00DD3584" w:rsidP="007F1DD2">
      <w:pPr>
        <w:jc w:val="both"/>
        <w:rPr>
          <w:lang w:val="fr-FR"/>
        </w:rPr>
      </w:pPr>
    </w:p>
    <w:tbl>
      <w:tblPr>
        <w:tblW w:w="0" w:type="auto"/>
        <w:tblCellSpacing w:w="0" w:type="auto"/>
        <w:tblLook w:val="04A0" w:firstRow="1" w:lastRow="0" w:firstColumn="1" w:lastColumn="0" w:noHBand="0" w:noVBand="1"/>
      </w:tblPr>
      <w:tblGrid>
        <w:gridCol w:w="519"/>
        <w:gridCol w:w="8508"/>
      </w:tblGrid>
      <w:tr w:rsidR="00DD3584" w:rsidRPr="000E673C" w14:paraId="0B5467EE" w14:textId="77777777" w:rsidTr="002E78D8">
        <w:trPr>
          <w:trHeight w:val="30"/>
          <w:tblCellSpacing w:w="0" w:type="auto"/>
        </w:trPr>
        <w:tc>
          <w:tcPr>
            <w:tcW w:w="520" w:type="dxa"/>
            <w:tcMar>
              <w:top w:w="15" w:type="dxa"/>
              <w:left w:w="15" w:type="dxa"/>
              <w:bottom w:w="15" w:type="dxa"/>
              <w:right w:w="15" w:type="dxa"/>
            </w:tcMar>
          </w:tcPr>
          <w:p w14:paraId="0B5467EC" w14:textId="5D46D3F7" w:rsidR="00DD3584" w:rsidRPr="000E673C" w:rsidRDefault="00B93A94" w:rsidP="007F1DD2">
            <w:bookmarkStart w:id="3" w:name="chk-paragraph-2-1-1-1_nodeId-794311471"/>
            <w:bookmarkEnd w:id="2"/>
            <w:r w:rsidRPr="000E673C">
              <w:rPr>
                <w:b/>
                <w:color w:val="000000"/>
                <w:lang w:val="fr-FR"/>
              </w:rPr>
              <w:t>  </w:t>
            </w:r>
            <w:r w:rsidRPr="000E673C">
              <w:rPr>
                <w:b/>
                <w:color w:val="000000"/>
              </w:rPr>
              <w:t>3.</w:t>
            </w:r>
          </w:p>
        </w:tc>
        <w:tc>
          <w:tcPr>
            <w:tcW w:w="8537" w:type="dxa"/>
            <w:tcMar>
              <w:top w:w="15" w:type="dxa"/>
              <w:left w:w="15" w:type="dxa"/>
              <w:bottom w:w="15" w:type="dxa"/>
              <w:right w:w="15" w:type="dxa"/>
            </w:tcMar>
          </w:tcPr>
          <w:p w14:paraId="0B5467ED" w14:textId="77777777" w:rsidR="00DD3584" w:rsidRPr="000E673C" w:rsidRDefault="00B93A94" w:rsidP="007F1DD2">
            <w:pPr>
              <w:jc w:val="both"/>
              <w:rPr>
                <w:lang w:val="fr-FR"/>
              </w:rPr>
            </w:pPr>
            <w:r w:rsidRPr="000E673C">
              <w:rPr>
                <w:color w:val="000000"/>
                <w:lang w:val="fr-FR"/>
              </w:rPr>
              <w:t>La demanderesse supporte les frais, fixés à 620 EUR.</w:t>
            </w:r>
          </w:p>
        </w:tc>
      </w:tr>
    </w:tbl>
    <w:p w14:paraId="744F4939" w14:textId="77777777" w:rsidR="002E78D8" w:rsidRPr="000E673C" w:rsidRDefault="002E78D8" w:rsidP="007F1DD2">
      <w:pPr>
        <w:jc w:val="center"/>
        <w:rPr>
          <w:b/>
          <w:color w:val="000000"/>
          <w:lang w:val="fr-FR"/>
        </w:rPr>
      </w:pPr>
      <w:bookmarkStart w:id="4" w:name="chk-paragraph-3_nodeId-1085394009"/>
      <w:bookmarkEnd w:id="3"/>
    </w:p>
    <w:p w14:paraId="765F327E" w14:textId="77777777" w:rsidR="002E78D8" w:rsidRPr="000E673C" w:rsidRDefault="002E78D8" w:rsidP="007F1DD2">
      <w:pPr>
        <w:jc w:val="center"/>
        <w:rPr>
          <w:b/>
          <w:color w:val="000000"/>
          <w:lang w:val="fr-FR"/>
        </w:rPr>
      </w:pPr>
    </w:p>
    <w:p w14:paraId="0B5467EF" w14:textId="20B90E1D" w:rsidR="00DD3584" w:rsidRPr="000E673C" w:rsidRDefault="00B93A94" w:rsidP="007F1DD2">
      <w:pPr>
        <w:jc w:val="center"/>
        <w:rPr>
          <w:lang w:val="fr-FR"/>
        </w:rPr>
      </w:pPr>
      <w:r w:rsidRPr="000E673C">
        <w:rPr>
          <w:b/>
          <w:color w:val="000000"/>
          <w:lang w:val="fr-FR"/>
        </w:rPr>
        <w:t>MOTIFS</w:t>
      </w:r>
    </w:p>
    <w:p w14:paraId="0B5467F0" w14:textId="571A3F14" w:rsidR="00DD3584" w:rsidRPr="000E673C" w:rsidRDefault="00B93A94" w:rsidP="007F1DD2">
      <w:pPr>
        <w:jc w:val="both"/>
        <w:rPr>
          <w:lang w:val="fr-FR"/>
        </w:rPr>
      </w:pPr>
      <w:r w:rsidRPr="000E673C">
        <w:rPr>
          <w:color w:val="000000"/>
          <w:lang w:val="fr-FR"/>
        </w:rPr>
        <w:t> </w:t>
      </w:r>
    </w:p>
    <w:p w14:paraId="0B5467F1" w14:textId="06DA2E7B" w:rsidR="00DD3584" w:rsidRPr="000E673C" w:rsidRDefault="00B93A94" w:rsidP="007F1DD2">
      <w:pPr>
        <w:jc w:val="both"/>
        <w:rPr>
          <w:lang w:val="fr-FR"/>
        </w:rPr>
      </w:pPr>
      <w:r w:rsidRPr="000E673C">
        <w:rPr>
          <w:color w:val="000000"/>
          <w:lang w:val="fr-FR"/>
        </w:rPr>
        <w:t xml:space="preserve">Le 24/01/2025, l’opposante a formé une opposition à l’encontre de tous les produits et services visés par la demande de marque de l'Union européenne n° 19 075 905 </w:t>
      </w:r>
      <w:r w:rsidR="002E78D8" w:rsidRPr="000E673C">
        <w:rPr>
          <w:color w:val="000000"/>
          <w:lang w:val="fr-FR"/>
        </w:rPr>
        <w:t>« </w:t>
      </w:r>
      <w:r w:rsidRPr="000E673C">
        <w:rPr>
          <w:color w:val="000000"/>
          <w:lang w:val="fr-FR"/>
        </w:rPr>
        <w:t>HERMÉS CLUB</w:t>
      </w:r>
      <w:r w:rsidR="002E78D8" w:rsidRPr="000E673C">
        <w:rPr>
          <w:color w:val="000000"/>
          <w:lang w:val="fr-FR"/>
        </w:rPr>
        <w:t> »</w:t>
      </w:r>
      <w:r w:rsidRPr="000E673C">
        <w:rPr>
          <w:color w:val="000000"/>
          <w:lang w:val="fr-FR"/>
        </w:rPr>
        <w:t xml:space="preserve"> (marque verbale). L’opposition est fondée sur</w:t>
      </w:r>
      <w:r w:rsidR="002E78D8" w:rsidRPr="000E673C">
        <w:rPr>
          <w:color w:val="000000"/>
          <w:lang w:val="fr-FR"/>
        </w:rPr>
        <w:t xml:space="preserve"> l’</w:t>
      </w:r>
      <w:r w:rsidRPr="000E673C">
        <w:rPr>
          <w:color w:val="000000"/>
          <w:lang w:val="fr-FR"/>
        </w:rPr>
        <w:t xml:space="preserve">enregistrement de marque de l’Union européenne n° 18 564 273 </w:t>
      </w:r>
      <w:r w:rsidR="002E78D8" w:rsidRPr="000E673C">
        <w:rPr>
          <w:color w:val="000000"/>
          <w:lang w:val="fr-FR"/>
        </w:rPr>
        <w:t>« </w:t>
      </w:r>
      <w:r w:rsidRPr="000E673C">
        <w:rPr>
          <w:color w:val="000000"/>
          <w:lang w:val="fr-FR"/>
        </w:rPr>
        <w:t>HERMÈS</w:t>
      </w:r>
      <w:r w:rsidR="002E78D8" w:rsidRPr="000E673C">
        <w:rPr>
          <w:color w:val="000000"/>
          <w:lang w:val="fr-FR"/>
        </w:rPr>
        <w:t> »</w:t>
      </w:r>
      <w:r w:rsidRPr="000E673C">
        <w:rPr>
          <w:color w:val="000000"/>
          <w:lang w:val="fr-FR"/>
        </w:rPr>
        <w:t xml:space="preserve"> </w:t>
      </w:r>
      <w:r w:rsidR="002E78D8" w:rsidRPr="000E673C">
        <w:rPr>
          <w:color w:val="000000"/>
          <w:lang w:val="fr-FR"/>
        </w:rPr>
        <w:t>(marque verbale) pour lequel l’opposante a invoqué l’article 8</w:t>
      </w:r>
      <w:r w:rsidR="007F1DD2" w:rsidRPr="000E673C">
        <w:rPr>
          <w:color w:val="000000"/>
          <w:lang w:val="fr-FR"/>
        </w:rPr>
        <w:t>, paragraphe</w:t>
      </w:r>
      <w:r w:rsidR="002E78D8" w:rsidRPr="000E673C">
        <w:rPr>
          <w:color w:val="000000"/>
          <w:lang w:val="fr-FR"/>
        </w:rPr>
        <w:t>1</w:t>
      </w:r>
      <w:r w:rsidR="007F1DD2" w:rsidRPr="000E673C">
        <w:rPr>
          <w:color w:val="000000"/>
          <w:lang w:val="fr-FR"/>
        </w:rPr>
        <w:t xml:space="preserve">, point </w:t>
      </w:r>
      <w:r w:rsidR="002E78D8" w:rsidRPr="000E673C">
        <w:rPr>
          <w:color w:val="000000"/>
          <w:lang w:val="fr-FR"/>
        </w:rPr>
        <w:t xml:space="preserve">b) du RMUE. </w:t>
      </w:r>
      <w:r w:rsidR="007F1DD2" w:rsidRPr="000E673C">
        <w:rPr>
          <w:color w:val="000000"/>
          <w:lang w:val="fr-FR"/>
        </w:rPr>
        <w:t xml:space="preserve">L’opposition est également fondée sur les </w:t>
      </w:r>
      <w:r w:rsidRPr="000E673C">
        <w:rPr>
          <w:color w:val="000000"/>
          <w:lang w:val="fr-FR"/>
        </w:rPr>
        <w:t>enregistrement</w:t>
      </w:r>
      <w:r w:rsidR="007F1DD2" w:rsidRPr="000E673C">
        <w:rPr>
          <w:color w:val="000000"/>
          <w:lang w:val="fr-FR"/>
        </w:rPr>
        <w:t>s</w:t>
      </w:r>
      <w:r w:rsidRPr="000E673C">
        <w:rPr>
          <w:color w:val="000000"/>
          <w:lang w:val="fr-FR"/>
        </w:rPr>
        <w:t xml:space="preserve"> de marque </w:t>
      </w:r>
      <w:r w:rsidR="007F1DD2" w:rsidRPr="000E673C">
        <w:rPr>
          <w:color w:val="000000"/>
          <w:lang w:val="fr-FR"/>
        </w:rPr>
        <w:t xml:space="preserve">français </w:t>
      </w:r>
      <w:r w:rsidRPr="000E673C">
        <w:rPr>
          <w:color w:val="000000"/>
          <w:lang w:val="fr-FR"/>
        </w:rPr>
        <w:t xml:space="preserve">n° 1 558 350 </w:t>
      </w:r>
      <w:r w:rsidR="007F1DD2" w:rsidRPr="000E673C">
        <w:rPr>
          <w:color w:val="000000"/>
          <w:lang w:val="fr-FR"/>
        </w:rPr>
        <w:t xml:space="preserve">et de l’Union européenne </w:t>
      </w:r>
      <w:r w:rsidRPr="000E673C">
        <w:rPr>
          <w:color w:val="000000"/>
          <w:lang w:val="fr-FR"/>
        </w:rPr>
        <w:t>n° 8 772 428</w:t>
      </w:r>
      <w:r w:rsidR="007F1DD2" w:rsidRPr="000E673C">
        <w:rPr>
          <w:color w:val="000000"/>
          <w:lang w:val="fr-FR"/>
        </w:rPr>
        <w:t>, tous</w:t>
      </w:r>
      <w:r w:rsidR="00721EE3" w:rsidRPr="000E673C">
        <w:rPr>
          <w:color w:val="000000"/>
          <w:lang w:val="fr-FR"/>
        </w:rPr>
        <w:t xml:space="preserve"> deux</w:t>
      </w:r>
      <w:r w:rsidR="007F1DD2" w:rsidRPr="000E673C">
        <w:rPr>
          <w:color w:val="000000"/>
          <w:lang w:val="fr-FR"/>
        </w:rPr>
        <w:t xml:space="preserve"> pour les signes verbaux « </w:t>
      </w:r>
      <w:r w:rsidRPr="000E673C">
        <w:rPr>
          <w:color w:val="000000"/>
          <w:lang w:val="fr-FR"/>
        </w:rPr>
        <w:t>HERMÈS</w:t>
      </w:r>
      <w:r w:rsidR="007F1DD2" w:rsidRPr="000E673C">
        <w:rPr>
          <w:color w:val="000000"/>
          <w:lang w:val="fr-FR"/>
        </w:rPr>
        <w:t> » pour lesquels l</w:t>
      </w:r>
      <w:r w:rsidRPr="000E673C">
        <w:rPr>
          <w:color w:val="000000"/>
          <w:lang w:val="fr-FR"/>
        </w:rPr>
        <w:t>’opposante a invoqué l’article 8, paragraphe 5</w:t>
      </w:r>
      <w:r w:rsidR="00721EE3" w:rsidRPr="000E673C">
        <w:rPr>
          <w:color w:val="000000"/>
          <w:lang w:val="fr-FR"/>
        </w:rPr>
        <w:t>,</w:t>
      </w:r>
      <w:r w:rsidRPr="000E673C">
        <w:rPr>
          <w:color w:val="000000"/>
          <w:lang w:val="fr-FR"/>
        </w:rPr>
        <w:t xml:space="preserve"> du RMUE. </w:t>
      </w:r>
    </w:p>
    <w:p w14:paraId="2B33A0AC" w14:textId="77777777" w:rsidR="007F1DD2" w:rsidRPr="000E673C" w:rsidRDefault="007F1DD2" w:rsidP="007F1DD2">
      <w:pPr>
        <w:rPr>
          <w:color w:val="000000"/>
          <w:lang w:val="fr-FR"/>
        </w:rPr>
      </w:pPr>
      <w:bookmarkStart w:id="5" w:name="chk-paragraph-9_nodeId--1671418853"/>
      <w:bookmarkEnd w:id="4"/>
    </w:p>
    <w:p w14:paraId="0B5467FB" w14:textId="40C5199D" w:rsidR="00DD3584" w:rsidRPr="000E673C" w:rsidRDefault="007F1DD2" w:rsidP="007F1DD2">
      <w:pPr>
        <w:jc w:val="both"/>
        <w:rPr>
          <w:lang w:val="fr-FR"/>
        </w:rPr>
      </w:pPr>
      <w:r w:rsidRPr="000E673C">
        <w:rPr>
          <w:color w:val="000000"/>
          <w:lang w:val="fr-FR"/>
        </w:rPr>
        <w:t>L’opposition étant fondée sur plus d’une marque antérieure et plus d’un motif, la division d’opposition estime qu’il y a lieu d’examiner d’abord l’opposition par rapport à l’enregistrement de marque de l’Union européenne n° 18 564 273 pour lequel l’opposante a invoqué l’article 8, paragraphe 1, point b)</w:t>
      </w:r>
      <w:r w:rsidR="00721EE3" w:rsidRPr="000E673C">
        <w:rPr>
          <w:color w:val="000000"/>
          <w:lang w:val="fr-FR"/>
        </w:rPr>
        <w:t>,</w:t>
      </w:r>
      <w:r w:rsidRPr="000E673C">
        <w:rPr>
          <w:color w:val="000000"/>
          <w:lang w:val="fr-FR"/>
        </w:rPr>
        <w:t xml:space="preserve"> du RMUE.</w:t>
      </w:r>
    </w:p>
    <w:p w14:paraId="5DC62EBA" w14:textId="77777777" w:rsidR="007F1DD2" w:rsidRPr="000E673C" w:rsidRDefault="007F1DD2" w:rsidP="007F1DD2">
      <w:pPr>
        <w:rPr>
          <w:lang w:val="fr-FR"/>
        </w:rPr>
      </w:pPr>
    </w:p>
    <w:p w14:paraId="1F80DBE9" w14:textId="77777777" w:rsidR="007F1DD2" w:rsidRPr="000E673C" w:rsidRDefault="007F1DD2" w:rsidP="007F1DD2">
      <w:pPr>
        <w:rPr>
          <w:lang w:val="fr-FR"/>
        </w:rPr>
      </w:pPr>
    </w:p>
    <w:p w14:paraId="0B5467FC" w14:textId="63C69971" w:rsidR="00DD3584" w:rsidRPr="000E673C" w:rsidRDefault="00B93A94" w:rsidP="007F1DD2">
      <w:pPr>
        <w:jc w:val="both"/>
        <w:rPr>
          <w:lang w:val="fr-FR"/>
        </w:rPr>
      </w:pPr>
      <w:bookmarkStart w:id="6" w:name="chk-paragraph-9-3_nodeId--1128870563"/>
      <w:bookmarkEnd w:id="5"/>
      <w:r w:rsidRPr="000E673C">
        <w:rPr>
          <w:b/>
          <w:color w:val="000000"/>
          <w:lang w:val="fr-FR"/>
        </w:rPr>
        <w:t>RISQUE DE CONFUSION – ARTICLE 8, PARAGRAPHE 1, POINT b), DU RMUE</w:t>
      </w:r>
    </w:p>
    <w:p w14:paraId="0B5467FD" w14:textId="7E9C3999" w:rsidR="00DD3584" w:rsidRPr="000E673C" w:rsidRDefault="00B93A94" w:rsidP="007F1DD2">
      <w:pPr>
        <w:jc w:val="both"/>
        <w:rPr>
          <w:lang w:val="fr-FR"/>
        </w:rPr>
      </w:pPr>
      <w:r w:rsidRPr="000E673C">
        <w:rPr>
          <w:color w:val="000000"/>
          <w:lang w:val="fr-FR"/>
        </w:rPr>
        <w:t> </w:t>
      </w:r>
    </w:p>
    <w:p w14:paraId="61BA1E61" w14:textId="5129C65E" w:rsidR="007F1DD2" w:rsidRPr="000E673C" w:rsidRDefault="00B93A94" w:rsidP="007F1DD2">
      <w:pPr>
        <w:jc w:val="both"/>
        <w:rPr>
          <w:lang w:val="fr-FR"/>
        </w:rPr>
      </w:pPr>
      <w:r w:rsidRPr="000E673C">
        <w:rPr>
          <w:color w:val="000000"/>
          <w:lang w:val="fr-FR"/>
        </w:rPr>
        <w:t>Conformément à l'article 8, paragraphe 1, point b) du RMUE, le</w:t>
      </w:r>
      <w:r w:rsidR="000E673C" w:rsidRPr="000E673C">
        <w:rPr>
          <w:color w:val="000000"/>
          <w:lang w:val="fr-FR"/>
        </w:rPr>
        <w:t xml:space="preserve"> </w:t>
      </w:r>
      <w:r w:rsidRPr="000E673C">
        <w:rPr>
          <w:color w:val="000000"/>
          <w:lang w:val="fr-FR"/>
        </w:rPr>
        <w:t>risque de confusion est le risque que le public puisse croire que les produits ou les services en cause, à condition de porter les marques en cause, proviennent de la même entreprise ou, le cas échéant, d’entreprises liées économiquement. L’existence d’un risque de confusion doit être appréciée globalement en tenant compte de plusieurs facteurs interdépendants. Ces facteurs incluent la similitude des signes, la similitude des produits et services, le caractère distinctif de la marque antérieure, les éléments distinctifs et dominants des signes en litige et le public pertinent.</w:t>
      </w:r>
    </w:p>
    <w:p w14:paraId="0B546809" w14:textId="3C2C61A8" w:rsidR="00DD3584" w:rsidRPr="000E673C" w:rsidRDefault="00DD3584" w:rsidP="007F1DD2">
      <w:pPr>
        <w:jc w:val="both"/>
        <w:rPr>
          <w:lang w:val="fr-FR"/>
        </w:rPr>
      </w:pPr>
    </w:p>
    <w:p w14:paraId="7AB15DB6" w14:textId="77777777" w:rsidR="007F1DD2" w:rsidRPr="000E673C" w:rsidRDefault="007F1DD2" w:rsidP="007F1DD2">
      <w:pPr>
        <w:jc w:val="both"/>
        <w:rPr>
          <w:lang w:val="fr-FR"/>
        </w:rPr>
      </w:pPr>
    </w:p>
    <w:p w14:paraId="0B54680A" w14:textId="6DDDF689" w:rsidR="00DD3584" w:rsidRPr="000E673C" w:rsidRDefault="00B93A94" w:rsidP="007F1DD2">
      <w:pPr>
        <w:jc w:val="both"/>
        <w:rPr>
          <w:lang w:val="fr-FR"/>
        </w:rPr>
      </w:pPr>
      <w:bookmarkStart w:id="7" w:name="chk-paragraph-9-3-1_nodeId-537559823"/>
      <w:bookmarkEnd w:id="6"/>
      <w:r w:rsidRPr="000E673C">
        <w:rPr>
          <w:b/>
          <w:color w:val="000000"/>
          <w:lang w:val="fr-FR"/>
        </w:rPr>
        <w:t>a) Les</w:t>
      </w:r>
      <w:r w:rsidR="007F1DD2" w:rsidRPr="000E673C">
        <w:rPr>
          <w:b/>
          <w:color w:val="000000"/>
          <w:lang w:val="fr-FR"/>
        </w:rPr>
        <w:t xml:space="preserve"> </w:t>
      </w:r>
      <w:r w:rsidRPr="000E673C">
        <w:rPr>
          <w:b/>
          <w:color w:val="000000"/>
          <w:lang w:val="fr-FR"/>
        </w:rPr>
        <w:t>produits et services</w:t>
      </w:r>
    </w:p>
    <w:p w14:paraId="0B54680B" w14:textId="3CA13967" w:rsidR="00DD3584" w:rsidRPr="000E673C" w:rsidRDefault="00B93A94" w:rsidP="007F1DD2">
      <w:pPr>
        <w:jc w:val="both"/>
        <w:rPr>
          <w:lang w:val="fr-FR"/>
        </w:rPr>
      </w:pPr>
      <w:r w:rsidRPr="000E673C">
        <w:rPr>
          <w:color w:val="000000"/>
          <w:lang w:val="fr-FR"/>
        </w:rPr>
        <w:t> </w:t>
      </w:r>
    </w:p>
    <w:p w14:paraId="0B54680C" w14:textId="517EC8E5" w:rsidR="00DD3584" w:rsidRPr="000E673C" w:rsidRDefault="00B93A94" w:rsidP="007F1DD2">
      <w:pPr>
        <w:jc w:val="both"/>
        <w:rPr>
          <w:lang w:val="fr-FR"/>
        </w:rPr>
      </w:pPr>
      <w:r w:rsidRPr="000E673C">
        <w:rPr>
          <w:color w:val="000000"/>
          <w:lang w:val="fr-FR"/>
        </w:rPr>
        <w:t>Les</w:t>
      </w:r>
      <w:r w:rsidR="00D63688" w:rsidRPr="000E673C">
        <w:rPr>
          <w:color w:val="000000"/>
          <w:lang w:val="fr-FR"/>
        </w:rPr>
        <w:t xml:space="preserve"> </w:t>
      </w:r>
      <w:r w:rsidRPr="000E673C">
        <w:rPr>
          <w:color w:val="000000"/>
          <w:lang w:val="fr-FR"/>
        </w:rPr>
        <w:t>produits et services</w:t>
      </w:r>
      <w:r w:rsidR="00D63688" w:rsidRPr="000E673C">
        <w:rPr>
          <w:color w:val="000000"/>
          <w:lang w:val="fr-FR"/>
        </w:rPr>
        <w:t xml:space="preserve"> </w:t>
      </w:r>
      <w:r w:rsidRPr="000E673C">
        <w:rPr>
          <w:color w:val="000000"/>
          <w:lang w:val="fr-FR"/>
        </w:rPr>
        <w:t>sur lesquels est fondée l’opposition sont</w:t>
      </w:r>
      <w:r w:rsidR="00D63688" w:rsidRPr="000E673C">
        <w:rPr>
          <w:color w:val="000000"/>
          <w:lang w:val="fr-FR"/>
        </w:rPr>
        <w:t> </w:t>
      </w:r>
      <w:r w:rsidRPr="000E673C">
        <w:rPr>
          <w:color w:val="000000"/>
          <w:lang w:val="fr-FR"/>
        </w:rPr>
        <w:t>:</w:t>
      </w:r>
    </w:p>
    <w:p w14:paraId="0B54680E" w14:textId="77777777" w:rsidR="00DD3584" w:rsidRPr="000E673C" w:rsidRDefault="00DD3584" w:rsidP="007F1DD2">
      <w:pPr>
        <w:jc w:val="both"/>
        <w:rPr>
          <w:lang w:val="fr-FR"/>
        </w:rPr>
      </w:pPr>
    </w:p>
    <w:p w14:paraId="0B546810" w14:textId="4C24304A" w:rsidR="00DD3584" w:rsidRPr="000E673C" w:rsidRDefault="00B93A94" w:rsidP="00D63688">
      <w:pPr>
        <w:jc w:val="both"/>
        <w:rPr>
          <w:lang w:val="fr-FR"/>
        </w:rPr>
      </w:pPr>
      <w:bookmarkStart w:id="8" w:name="_Hlk213854360"/>
      <w:r w:rsidRPr="000E673C">
        <w:rPr>
          <w:color w:val="000000"/>
          <w:lang w:val="fr-FR"/>
        </w:rPr>
        <w:t>Classe 14</w:t>
      </w:r>
      <w:r w:rsidR="00D63688" w:rsidRPr="000E673C">
        <w:rPr>
          <w:color w:val="000000"/>
          <w:lang w:val="fr-FR"/>
        </w:rPr>
        <w:t> </w:t>
      </w:r>
      <w:r w:rsidRPr="000E673C">
        <w:rPr>
          <w:color w:val="000000"/>
          <w:lang w:val="fr-FR"/>
        </w:rPr>
        <w:t xml:space="preserve">: </w:t>
      </w:r>
      <w:r w:rsidRPr="000E673C">
        <w:rPr>
          <w:i/>
          <w:color w:val="000000"/>
          <w:lang w:val="fr-FR"/>
        </w:rPr>
        <w:t>Métaux précieux et leurs alliages; pierres précieuses; joaillerie; bijouterie; bijoux de fantaisie; colliers (bijouterie); ras du cou (colliers); sautoirs (bijouterie); bracelets (bijouterie); bagues (bijouterie); boucles d’oreilles (bijouterie); pendentifs (bijouterie); boutons de manchette (bijouterie); pinces à cravates; chaînes (bijouterie); coffrets à bijoux; coffrets à montres non en métaux précieux; trousses à bijoux; horlogerie et instruments chronométriques; montres et leurs parties constitutives; mouvements d'horlogerie; articles d'horlogerie et instruments chronométriques intelligents; étuis et écrins pour l’horlogerie et la bijouterie; tous ces produits étant susceptibles d’être connectés, intelligents et/ou de faire appel à l’intelligence artificielle.</w:t>
      </w:r>
    </w:p>
    <w:p w14:paraId="1ECE04F6" w14:textId="77777777" w:rsidR="00D63688" w:rsidRPr="000E673C" w:rsidRDefault="00D63688" w:rsidP="007F1DD2">
      <w:pPr>
        <w:rPr>
          <w:color w:val="000000"/>
          <w:lang w:val="fr-FR"/>
        </w:rPr>
      </w:pPr>
    </w:p>
    <w:p w14:paraId="0B546811" w14:textId="522EB58A" w:rsidR="00DD3584" w:rsidRPr="000E673C" w:rsidRDefault="00B93A94" w:rsidP="00D63688">
      <w:pPr>
        <w:jc w:val="both"/>
        <w:rPr>
          <w:i/>
          <w:color w:val="000000"/>
          <w:lang w:val="fr-FR"/>
        </w:rPr>
      </w:pPr>
      <w:r w:rsidRPr="000E673C">
        <w:rPr>
          <w:color w:val="000000"/>
          <w:lang w:val="fr-FR"/>
        </w:rPr>
        <w:t>Classe 18</w:t>
      </w:r>
      <w:r w:rsidR="00D63688" w:rsidRPr="000E673C">
        <w:rPr>
          <w:color w:val="000000"/>
          <w:lang w:val="fr-FR"/>
        </w:rPr>
        <w:t> </w:t>
      </w:r>
      <w:r w:rsidRPr="000E673C">
        <w:rPr>
          <w:color w:val="000000"/>
          <w:lang w:val="fr-FR"/>
        </w:rPr>
        <w:t xml:space="preserve">: </w:t>
      </w:r>
      <w:bookmarkStart w:id="9" w:name="_Hlk213854536"/>
      <w:r w:rsidRPr="000E673C">
        <w:rPr>
          <w:i/>
          <w:color w:val="000000"/>
          <w:lang w:val="fr-FR"/>
        </w:rPr>
        <w:t xml:space="preserve">Cuir; imitations du cuir; sacs; sacs à main; sacs de voyage; sacs à dos; sacs-housses pour vêtements (pour le voyage); sacs à roulettes; sacs de campeurs; sacs de transport pour animaux; sacs (enveloppes, pochettes) en cuir pour l’emballage; bourses; sacoches; baluchons; pochettes en cuir; housses de protection pour sacs et chaussures; portefeuilles; porte-monnaie; porte-cartes (maroquinerie); porte-documents; porte-billets; malles et valises; poignées de valises; porte-étiquettes à bagages; trousses et coffrets destinés à contenir des articles de toilette (vides); </w:t>
      </w:r>
      <w:proofErr w:type="spellStart"/>
      <w:r w:rsidRPr="000E673C">
        <w:rPr>
          <w:i/>
          <w:color w:val="000000"/>
          <w:lang w:val="fr-FR"/>
        </w:rPr>
        <w:t>vanity</w:t>
      </w:r>
      <w:proofErr w:type="spellEnd"/>
      <w:r w:rsidRPr="000E673C">
        <w:rPr>
          <w:i/>
          <w:color w:val="000000"/>
          <w:lang w:val="fr-FR"/>
        </w:rPr>
        <w:t xml:space="preserve"> cases (vides); trousses de voyage; trousses à maquillage; sacs, articles de bagagerie intelligents; articles de petite maroquinerie intelligents, à savoir portefeuilles, porte-monnaie, porte-cartes (maroquinerie), porte-billets, porte-documents, porte-étiquettes à bagages; tous ces produits étant susceptibles d’être connectés, intelligents et/ou de faire appel à l'intelligence artificielle.</w:t>
      </w:r>
    </w:p>
    <w:bookmarkEnd w:id="9"/>
    <w:p w14:paraId="1CF1CA19" w14:textId="77777777" w:rsidR="00D63688" w:rsidRPr="000E673C" w:rsidRDefault="00D63688" w:rsidP="00D63688">
      <w:pPr>
        <w:jc w:val="both"/>
        <w:rPr>
          <w:lang w:val="fr-FR"/>
        </w:rPr>
      </w:pPr>
    </w:p>
    <w:p w14:paraId="0B546812" w14:textId="7F3B58AB" w:rsidR="00DD3584" w:rsidRPr="000E673C" w:rsidRDefault="00B93A94" w:rsidP="00D63688">
      <w:pPr>
        <w:jc w:val="both"/>
        <w:rPr>
          <w:i/>
          <w:color w:val="000000"/>
          <w:lang w:val="fr-FR"/>
        </w:rPr>
      </w:pPr>
      <w:r w:rsidRPr="000E673C">
        <w:rPr>
          <w:color w:val="000000"/>
          <w:lang w:val="fr-FR"/>
        </w:rPr>
        <w:t>Classe 25</w:t>
      </w:r>
      <w:r w:rsidR="00D63688" w:rsidRPr="000E673C">
        <w:rPr>
          <w:color w:val="000000"/>
          <w:lang w:val="fr-FR"/>
        </w:rPr>
        <w:t> </w:t>
      </w:r>
      <w:r w:rsidRPr="000E673C">
        <w:rPr>
          <w:color w:val="000000"/>
          <w:lang w:val="fr-FR"/>
        </w:rPr>
        <w:t xml:space="preserve">: </w:t>
      </w:r>
      <w:r w:rsidRPr="000E673C">
        <w:rPr>
          <w:i/>
          <w:color w:val="000000"/>
          <w:lang w:val="fr-FR"/>
        </w:rPr>
        <w:t xml:space="preserve">Vêtements; chaussures; chapellerie; vêtements intelligents; chaussures intelligentes; articles de chapellerie et de bonneterie intelligents; accessoires de mode intelligents; vêtements confectionnés; pull-overs; chandails; gilets; tricots (vêtements); chemises; chemisettes; blouses; chemisiers; tee-shirts; polos; pantalons; vestes; costumes; shorts; jupes; robes; boléros; polaires; sous-pulls; blousons; </w:t>
      </w:r>
      <w:proofErr w:type="spellStart"/>
      <w:r w:rsidRPr="000E673C">
        <w:rPr>
          <w:i/>
          <w:color w:val="000000"/>
          <w:lang w:val="fr-FR"/>
        </w:rPr>
        <w:t>coupe-vents</w:t>
      </w:r>
      <w:proofErr w:type="spellEnd"/>
      <w:r w:rsidRPr="000E673C">
        <w:rPr>
          <w:i/>
          <w:color w:val="000000"/>
          <w:lang w:val="fr-FR"/>
        </w:rPr>
        <w:t>; doudounes; manteaux; gabardines (vêtements); imperméables; pardessus; parkas; ponchos; capes; vêtements en cuir et en imitations du cuir; fourrures (vêtements); boas (tours du cou); vêtements pour le sport; vêtements de nuit; masques de nuit; sous-vêtements; caleçons; shorts de bain; maillots de bain; peignoirs; bottes; bottines; espadrilles; sandales; chaussures de plage; chaussures de sport; bottes de ski; chaussons; pantoufles; semelles pour chaussures; chapeaux; casquettes (chapellerie); bonnets; visières (chapeaux); bandeaux pour la tête (habillement); gants (habillement); moufles; mitaines; gants de ski; manchons; cravates; ceintures (habillement); ceintures porte-monnaie (habillement); pochettes (habillement); foulards; lavallières; nœuds papillon; écharpes; châles; étoles; chaussettes; collants; guêtres; bretelles; tous ces produits étant susceptibles d’être connectés, intelligents et/ou de faire appel à l’intelligence artificielle.</w:t>
      </w:r>
    </w:p>
    <w:p w14:paraId="56261F69" w14:textId="77777777" w:rsidR="00D63688" w:rsidRPr="000E673C" w:rsidRDefault="00D63688" w:rsidP="00D63688">
      <w:pPr>
        <w:jc w:val="both"/>
        <w:rPr>
          <w:lang w:val="fr-FR"/>
        </w:rPr>
      </w:pPr>
    </w:p>
    <w:p w14:paraId="0B546813" w14:textId="0E7D7BD7" w:rsidR="00DD3584" w:rsidRPr="000E673C" w:rsidRDefault="00B93A94" w:rsidP="00D63688">
      <w:pPr>
        <w:jc w:val="both"/>
        <w:rPr>
          <w:i/>
          <w:color w:val="000000"/>
          <w:lang w:val="fr-FR"/>
        </w:rPr>
      </w:pPr>
      <w:r w:rsidRPr="000E673C">
        <w:rPr>
          <w:color w:val="000000"/>
          <w:lang w:val="fr-FR"/>
        </w:rPr>
        <w:t>Classe 35</w:t>
      </w:r>
      <w:r w:rsidR="00D63688" w:rsidRPr="000E673C">
        <w:rPr>
          <w:color w:val="000000"/>
          <w:lang w:val="fr-FR"/>
        </w:rPr>
        <w:t> </w:t>
      </w:r>
      <w:r w:rsidRPr="000E673C">
        <w:rPr>
          <w:color w:val="000000"/>
          <w:lang w:val="fr-FR"/>
        </w:rPr>
        <w:t xml:space="preserve">: </w:t>
      </w:r>
      <w:r w:rsidR="00721EE3" w:rsidRPr="000E673C">
        <w:rPr>
          <w:i/>
          <w:color w:val="000000"/>
          <w:lang w:val="fr-FR"/>
        </w:rPr>
        <w:t>O</w:t>
      </w:r>
      <w:r w:rsidRPr="000E673C">
        <w:rPr>
          <w:i/>
          <w:color w:val="000000"/>
          <w:lang w:val="fr-FR"/>
        </w:rPr>
        <w:t>rganisation de défilés de mode à des fins promotionnelles et commerciales; publicité; publicité par correspondance; location de matériel publicitaire et d'espace publicitaire; rédaction, publication, diffusion et mise à jour d'annonces, courriers et textes publicitaires; démonstration de produits; diffusion et distribution d'échantillons; organisation d'expositions à des fins commerciales ou publicitaires; décoration de vitrines y compris sur site internet; services de fidélisation de la clientèle à des fins commerciales, promotionnelles ou publicitaires; services de cartes et de programmes de fidélité; relations publiques</w:t>
      </w:r>
      <w:r w:rsidR="00D63688" w:rsidRPr="000E673C">
        <w:rPr>
          <w:i/>
          <w:color w:val="000000"/>
          <w:lang w:val="fr-FR"/>
        </w:rPr>
        <w:t>.</w:t>
      </w:r>
    </w:p>
    <w:p w14:paraId="7BC41B08" w14:textId="77777777" w:rsidR="00D63688" w:rsidRPr="000E673C" w:rsidRDefault="00D63688" w:rsidP="00D63688">
      <w:pPr>
        <w:jc w:val="both"/>
        <w:rPr>
          <w:lang w:val="fr-FR"/>
        </w:rPr>
      </w:pPr>
    </w:p>
    <w:p w14:paraId="0B546814" w14:textId="700CA7E4" w:rsidR="00DD3584" w:rsidRPr="000E673C" w:rsidRDefault="00B93A94" w:rsidP="00D63688">
      <w:pPr>
        <w:jc w:val="both"/>
        <w:rPr>
          <w:lang w:val="fr-FR"/>
        </w:rPr>
      </w:pPr>
      <w:r w:rsidRPr="000E673C">
        <w:rPr>
          <w:color w:val="000000"/>
          <w:lang w:val="fr-FR"/>
        </w:rPr>
        <w:t>Classe 42</w:t>
      </w:r>
      <w:r w:rsidR="00D63688" w:rsidRPr="000E673C">
        <w:rPr>
          <w:color w:val="000000"/>
          <w:lang w:val="fr-FR"/>
        </w:rPr>
        <w:t> </w:t>
      </w:r>
      <w:r w:rsidRPr="000E673C">
        <w:rPr>
          <w:color w:val="000000"/>
          <w:lang w:val="fr-FR"/>
        </w:rPr>
        <w:t xml:space="preserve">: </w:t>
      </w:r>
      <w:r w:rsidR="00721EE3" w:rsidRPr="000E673C">
        <w:rPr>
          <w:i/>
          <w:color w:val="000000"/>
          <w:lang w:val="fr-FR"/>
        </w:rPr>
        <w:t>C</w:t>
      </w:r>
      <w:r w:rsidRPr="000E673C">
        <w:rPr>
          <w:i/>
          <w:color w:val="000000"/>
          <w:lang w:val="fr-FR"/>
        </w:rPr>
        <w:t xml:space="preserve">onduite d’études de projets </w:t>
      </w:r>
      <w:proofErr w:type="gramStart"/>
      <w:r w:rsidRPr="000E673C">
        <w:rPr>
          <w:i/>
          <w:color w:val="000000"/>
          <w:lang w:val="fr-FR"/>
        </w:rPr>
        <w:t>techniques;</w:t>
      </w:r>
      <w:proofErr w:type="gramEnd"/>
      <w:r w:rsidRPr="000E673C">
        <w:rPr>
          <w:i/>
          <w:color w:val="000000"/>
          <w:lang w:val="fr-FR"/>
        </w:rPr>
        <w:t xml:space="preserve"> décoration </w:t>
      </w:r>
      <w:proofErr w:type="gramStart"/>
      <w:r w:rsidRPr="000E673C">
        <w:rPr>
          <w:i/>
          <w:color w:val="000000"/>
          <w:lang w:val="fr-FR"/>
        </w:rPr>
        <w:t>intérieure;</w:t>
      </w:r>
      <w:proofErr w:type="gramEnd"/>
      <w:r w:rsidRPr="000E673C">
        <w:rPr>
          <w:i/>
          <w:color w:val="000000"/>
          <w:lang w:val="fr-FR"/>
        </w:rPr>
        <w:t xml:space="preserve"> service de conception, développement, installation, maintenance et mise à jour de </w:t>
      </w:r>
      <w:proofErr w:type="gramStart"/>
      <w:r w:rsidRPr="000E673C">
        <w:rPr>
          <w:i/>
          <w:color w:val="000000"/>
          <w:lang w:val="fr-FR"/>
        </w:rPr>
        <w:t>logiciels;</w:t>
      </w:r>
      <w:proofErr w:type="gramEnd"/>
      <w:r w:rsidRPr="000E673C">
        <w:rPr>
          <w:i/>
          <w:color w:val="000000"/>
          <w:lang w:val="fr-FR"/>
        </w:rPr>
        <w:t xml:space="preserve"> constitution et réalisation (conception), recherche et développement de nouveaux produits pour les </w:t>
      </w:r>
      <w:proofErr w:type="gramStart"/>
      <w:r w:rsidRPr="000E673C">
        <w:rPr>
          <w:i/>
          <w:color w:val="000000"/>
          <w:lang w:val="fr-FR"/>
        </w:rPr>
        <w:t>tiers;</w:t>
      </w:r>
      <w:proofErr w:type="gramEnd"/>
      <w:r w:rsidRPr="000E673C">
        <w:rPr>
          <w:i/>
          <w:color w:val="000000"/>
          <w:lang w:val="fr-FR"/>
        </w:rPr>
        <w:t xml:space="preserve"> </w:t>
      </w:r>
      <w:r w:rsidRPr="000E673C">
        <w:rPr>
          <w:i/>
          <w:color w:val="000000"/>
          <w:lang w:val="fr-FR"/>
        </w:rPr>
        <w:lastRenderedPageBreak/>
        <w:t xml:space="preserve">conception, développement et maintenance de forum de discussions et de plates-formes sur </w:t>
      </w:r>
      <w:proofErr w:type="gramStart"/>
      <w:r w:rsidRPr="000E673C">
        <w:rPr>
          <w:i/>
          <w:color w:val="000000"/>
          <w:lang w:val="fr-FR"/>
        </w:rPr>
        <w:t>Internet;</w:t>
      </w:r>
      <w:proofErr w:type="gramEnd"/>
      <w:r w:rsidRPr="000E673C">
        <w:rPr>
          <w:i/>
          <w:color w:val="000000"/>
          <w:lang w:val="fr-FR"/>
        </w:rPr>
        <w:t xml:space="preserve"> étude de projets </w:t>
      </w:r>
      <w:proofErr w:type="gramStart"/>
      <w:r w:rsidRPr="000E673C">
        <w:rPr>
          <w:i/>
          <w:color w:val="000000"/>
          <w:lang w:val="fr-FR"/>
        </w:rPr>
        <w:t>techniques;</w:t>
      </w:r>
      <w:proofErr w:type="gramEnd"/>
      <w:r w:rsidRPr="000E673C">
        <w:rPr>
          <w:i/>
          <w:color w:val="000000"/>
          <w:lang w:val="fr-FR"/>
        </w:rPr>
        <w:t xml:space="preserve"> services d'informations, de conseils et d'assistance relatifs à tous les services précités.</w:t>
      </w:r>
    </w:p>
    <w:p w14:paraId="0B546820" w14:textId="77777777" w:rsidR="00DD3584" w:rsidRPr="000E673C" w:rsidRDefault="00DD3584" w:rsidP="00D63688">
      <w:pPr>
        <w:jc w:val="both"/>
        <w:rPr>
          <w:lang w:val="fr-FR"/>
        </w:rPr>
      </w:pPr>
    </w:p>
    <w:bookmarkEnd w:id="8"/>
    <w:p w14:paraId="0B546822" w14:textId="7B78402E" w:rsidR="00DD3584" w:rsidRPr="000E673C" w:rsidRDefault="00B93A94" w:rsidP="00D63688">
      <w:pPr>
        <w:jc w:val="both"/>
        <w:rPr>
          <w:lang w:val="fr-FR"/>
        </w:rPr>
      </w:pPr>
      <w:r w:rsidRPr="000E673C">
        <w:rPr>
          <w:color w:val="000000"/>
          <w:lang w:val="fr-FR"/>
        </w:rPr>
        <w:t>Les</w:t>
      </w:r>
      <w:r w:rsidR="00D63688" w:rsidRPr="000E673C">
        <w:rPr>
          <w:color w:val="000000"/>
          <w:lang w:val="fr-FR"/>
        </w:rPr>
        <w:t xml:space="preserve"> </w:t>
      </w:r>
      <w:r w:rsidRPr="000E673C">
        <w:rPr>
          <w:color w:val="000000"/>
          <w:lang w:val="fr-FR"/>
        </w:rPr>
        <w:t>produits et services</w:t>
      </w:r>
      <w:r w:rsidR="00D63688" w:rsidRPr="000E673C">
        <w:rPr>
          <w:color w:val="000000"/>
          <w:lang w:val="fr-FR"/>
        </w:rPr>
        <w:t xml:space="preserve"> </w:t>
      </w:r>
      <w:r w:rsidRPr="000E673C">
        <w:rPr>
          <w:color w:val="000000"/>
          <w:lang w:val="fr-FR"/>
        </w:rPr>
        <w:t xml:space="preserve">contestés sont les </w:t>
      </w:r>
      <w:r w:rsidR="00D63688" w:rsidRPr="000E673C">
        <w:rPr>
          <w:color w:val="000000"/>
          <w:lang w:val="fr-FR"/>
        </w:rPr>
        <w:t>suivants :</w:t>
      </w:r>
    </w:p>
    <w:p w14:paraId="0B546824" w14:textId="77777777" w:rsidR="00DD3584" w:rsidRPr="000E673C" w:rsidRDefault="00DD3584" w:rsidP="00D63688">
      <w:pPr>
        <w:jc w:val="both"/>
        <w:rPr>
          <w:lang w:val="fr-FR"/>
        </w:rPr>
      </w:pPr>
    </w:p>
    <w:p w14:paraId="0B546825" w14:textId="64851165" w:rsidR="00DD3584" w:rsidRPr="000E673C" w:rsidRDefault="00B93A94" w:rsidP="00D63688">
      <w:pPr>
        <w:jc w:val="both"/>
        <w:rPr>
          <w:i/>
          <w:color w:val="000000"/>
          <w:lang w:val="fr-FR"/>
        </w:rPr>
      </w:pPr>
      <w:bookmarkStart w:id="10" w:name="_Hlk213854509"/>
      <w:r w:rsidRPr="000E673C">
        <w:rPr>
          <w:color w:val="000000"/>
          <w:lang w:val="fr-FR"/>
        </w:rPr>
        <w:t>Classe 14</w:t>
      </w:r>
      <w:r w:rsidR="00D63688" w:rsidRPr="000E673C">
        <w:rPr>
          <w:color w:val="000000"/>
          <w:lang w:val="fr-FR"/>
        </w:rPr>
        <w:t> </w:t>
      </w:r>
      <w:r w:rsidRPr="000E673C">
        <w:rPr>
          <w:color w:val="000000"/>
          <w:lang w:val="fr-FR"/>
        </w:rPr>
        <w:t xml:space="preserve">: </w:t>
      </w:r>
      <w:r w:rsidRPr="000E673C">
        <w:rPr>
          <w:i/>
          <w:color w:val="000000"/>
          <w:lang w:val="fr-FR"/>
        </w:rPr>
        <w:t>Articles de bijouterie-</w:t>
      </w:r>
      <w:proofErr w:type="gramStart"/>
      <w:r w:rsidRPr="000E673C">
        <w:rPr>
          <w:i/>
          <w:color w:val="000000"/>
          <w:lang w:val="fr-FR"/>
        </w:rPr>
        <w:t>joaillerie;</w:t>
      </w:r>
      <w:proofErr w:type="gramEnd"/>
      <w:r w:rsidRPr="000E673C">
        <w:rPr>
          <w:i/>
          <w:color w:val="000000"/>
          <w:lang w:val="fr-FR"/>
        </w:rPr>
        <w:t xml:space="preserve"> Pierres précieuses, perles et métaux précieux, et leurs </w:t>
      </w:r>
      <w:proofErr w:type="gramStart"/>
      <w:r w:rsidRPr="000E673C">
        <w:rPr>
          <w:i/>
          <w:color w:val="000000"/>
          <w:lang w:val="fr-FR"/>
        </w:rPr>
        <w:t>imitations;</w:t>
      </w:r>
      <w:proofErr w:type="gramEnd"/>
      <w:r w:rsidRPr="000E673C">
        <w:rPr>
          <w:i/>
          <w:color w:val="000000"/>
          <w:lang w:val="fr-FR"/>
        </w:rPr>
        <w:t xml:space="preserve"> Coffrets à bijoux et coffrets à </w:t>
      </w:r>
      <w:proofErr w:type="gramStart"/>
      <w:r w:rsidRPr="000E673C">
        <w:rPr>
          <w:i/>
          <w:color w:val="000000"/>
          <w:lang w:val="fr-FR"/>
        </w:rPr>
        <w:t>montres;</w:t>
      </w:r>
      <w:proofErr w:type="gramEnd"/>
      <w:r w:rsidRPr="000E673C">
        <w:rPr>
          <w:i/>
          <w:color w:val="000000"/>
          <w:lang w:val="fr-FR"/>
        </w:rPr>
        <w:t xml:space="preserve"> Instruments chronométriques.</w:t>
      </w:r>
    </w:p>
    <w:p w14:paraId="1F27BF55" w14:textId="77777777" w:rsidR="00D63688" w:rsidRPr="000E673C" w:rsidRDefault="00D63688" w:rsidP="00D63688">
      <w:pPr>
        <w:jc w:val="both"/>
        <w:rPr>
          <w:lang w:val="fr-FR"/>
        </w:rPr>
      </w:pPr>
    </w:p>
    <w:p w14:paraId="0B546826" w14:textId="52E3D574" w:rsidR="00DD3584" w:rsidRPr="000E673C" w:rsidRDefault="00B93A94" w:rsidP="00D63688">
      <w:pPr>
        <w:jc w:val="both"/>
        <w:rPr>
          <w:i/>
          <w:color w:val="000000"/>
          <w:lang w:val="fr-FR"/>
        </w:rPr>
      </w:pPr>
      <w:r w:rsidRPr="000E673C">
        <w:rPr>
          <w:color w:val="000000"/>
          <w:lang w:val="fr-FR"/>
        </w:rPr>
        <w:t>Classe 18</w:t>
      </w:r>
      <w:r w:rsidR="00D63688" w:rsidRPr="000E673C">
        <w:rPr>
          <w:color w:val="000000"/>
          <w:lang w:val="fr-FR"/>
        </w:rPr>
        <w:t xml:space="preserve"> </w:t>
      </w:r>
      <w:r w:rsidRPr="000E673C">
        <w:rPr>
          <w:color w:val="000000"/>
          <w:lang w:val="fr-FR"/>
        </w:rPr>
        <w:t xml:space="preserve">: </w:t>
      </w:r>
      <w:r w:rsidRPr="000E673C">
        <w:rPr>
          <w:i/>
          <w:color w:val="000000"/>
          <w:lang w:val="fr-FR"/>
        </w:rPr>
        <w:t>Bagages, sacs, portefeuilles et autres objets de transport.</w:t>
      </w:r>
    </w:p>
    <w:p w14:paraId="1786C5A2" w14:textId="77777777" w:rsidR="00D63688" w:rsidRPr="000E673C" w:rsidRDefault="00D63688" w:rsidP="00D63688">
      <w:pPr>
        <w:jc w:val="both"/>
        <w:rPr>
          <w:lang w:val="fr-FR"/>
        </w:rPr>
      </w:pPr>
    </w:p>
    <w:p w14:paraId="0B546827" w14:textId="771F5C87" w:rsidR="00DD3584" w:rsidRPr="000E673C" w:rsidRDefault="00B93A94" w:rsidP="00D63688">
      <w:pPr>
        <w:jc w:val="both"/>
        <w:rPr>
          <w:i/>
          <w:color w:val="000000"/>
          <w:lang w:val="fr-FR"/>
        </w:rPr>
      </w:pPr>
      <w:r w:rsidRPr="000E673C">
        <w:rPr>
          <w:color w:val="000000"/>
          <w:lang w:val="fr-FR"/>
        </w:rPr>
        <w:t>Classe 25</w:t>
      </w:r>
      <w:r w:rsidR="00D63688" w:rsidRPr="000E673C">
        <w:rPr>
          <w:color w:val="000000"/>
          <w:lang w:val="fr-FR"/>
        </w:rPr>
        <w:t> </w:t>
      </w:r>
      <w:r w:rsidRPr="000E673C">
        <w:rPr>
          <w:color w:val="000000"/>
          <w:lang w:val="fr-FR"/>
        </w:rPr>
        <w:t xml:space="preserve">: </w:t>
      </w:r>
      <w:proofErr w:type="gramStart"/>
      <w:r w:rsidRPr="000E673C">
        <w:rPr>
          <w:i/>
          <w:color w:val="000000"/>
          <w:lang w:val="fr-FR"/>
        </w:rPr>
        <w:t>Vêtements;</w:t>
      </w:r>
      <w:proofErr w:type="gramEnd"/>
      <w:r w:rsidRPr="000E673C">
        <w:rPr>
          <w:i/>
          <w:color w:val="000000"/>
          <w:lang w:val="fr-FR"/>
        </w:rPr>
        <w:t xml:space="preserve"> Articles </w:t>
      </w:r>
      <w:proofErr w:type="gramStart"/>
      <w:r w:rsidRPr="000E673C">
        <w:rPr>
          <w:i/>
          <w:color w:val="000000"/>
          <w:lang w:val="fr-FR"/>
        </w:rPr>
        <w:t>chaussants;</w:t>
      </w:r>
      <w:proofErr w:type="gramEnd"/>
      <w:r w:rsidRPr="000E673C">
        <w:rPr>
          <w:i/>
          <w:color w:val="000000"/>
          <w:lang w:val="fr-FR"/>
        </w:rPr>
        <w:t xml:space="preserve"> </w:t>
      </w:r>
      <w:proofErr w:type="gramStart"/>
      <w:r w:rsidRPr="000E673C">
        <w:rPr>
          <w:i/>
          <w:color w:val="000000"/>
          <w:lang w:val="fr-FR"/>
        </w:rPr>
        <w:t>Chapellerie;</w:t>
      </w:r>
      <w:proofErr w:type="gramEnd"/>
      <w:r w:rsidRPr="000E673C">
        <w:rPr>
          <w:i/>
          <w:color w:val="000000"/>
          <w:lang w:val="fr-FR"/>
        </w:rPr>
        <w:t xml:space="preserve"> Parties de vêtements, articles chaussants et articles de chapellerie.</w:t>
      </w:r>
    </w:p>
    <w:p w14:paraId="6B1082B7" w14:textId="77777777" w:rsidR="00D63688" w:rsidRPr="000E673C" w:rsidRDefault="00D63688" w:rsidP="00D63688">
      <w:pPr>
        <w:jc w:val="both"/>
        <w:rPr>
          <w:lang w:val="fr-FR"/>
        </w:rPr>
      </w:pPr>
    </w:p>
    <w:p w14:paraId="0B546828" w14:textId="38140699" w:rsidR="00DD3584" w:rsidRPr="000E673C" w:rsidRDefault="00B93A94" w:rsidP="00D63688">
      <w:pPr>
        <w:jc w:val="both"/>
        <w:rPr>
          <w:i/>
          <w:color w:val="000000"/>
          <w:lang w:val="fr-FR"/>
        </w:rPr>
      </w:pPr>
      <w:r w:rsidRPr="000E673C">
        <w:rPr>
          <w:color w:val="000000"/>
          <w:lang w:val="fr-FR"/>
        </w:rPr>
        <w:t>Classe 35</w:t>
      </w:r>
      <w:r w:rsidR="00D63688" w:rsidRPr="000E673C">
        <w:rPr>
          <w:color w:val="000000"/>
          <w:lang w:val="fr-FR"/>
        </w:rPr>
        <w:t> </w:t>
      </w:r>
      <w:r w:rsidRPr="000E673C">
        <w:rPr>
          <w:color w:val="000000"/>
          <w:lang w:val="fr-FR"/>
        </w:rPr>
        <w:t xml:space="preserve">: </w:t>
      </w:r>
      <w:r w:rsidRPr="000E673C">
        <w:rPr>
          <w:i/>
          <w:color w:val="000000"/>
          <w:lang w:val="fr-FR"/>
        </w:rPr>
        <w:t>Services de publicité, de marketing et de promotion.</w:t>
      </w:r>
    </w:p>
    <w:p w14:paraId="350DED7F" w14:textId="77777777" w:rsidR="00D63688" w:rsidRPr="000E673C" w:rsidRDefault="00D63688" w:rsidP="00D63688">
      <w:pPr>
        <w:jc w:val="both"/>
        <w:rPr>
          <w:lang w:val="fr-FR"/>
        </w:rPr>
      </w:pPr>
    </w:p>
    <w:p w14:paraId="0B546829" w14:textId="0D99C6C4" w:rsidR="00DD3584" w:rsidRPr="000E673C" w:rsidRDefault="00B93A94" w:rsidP="00D63688">
      <w:pPr>
        <w:jc w:val="both"/>
        <w:rPr>
          <w:lang w:val="fr-FR"/>
        </w:rPr>
      </w:pPr>
      <w:r w:rsidRPr="000E673C">
        <w:rPr>
          <w:color w:val="000000"/>
          <w:lang w:val="fr-FR"/>
        </w:rPr>
        <w:t>Classe 42</w:t>
      </w:r>
      <w:r w:rsidR="00D63688" w:rsidRPr="000E673C">
        <w:rPr>
          <w:color w:val="000000"/>
          <w:lang w:val="fr-FR"/>
        </w:rPr>
        <w:t> </w:t>
      </w:r>
      <w:r w:rsidRPr="000E673C">
        <w:rPr>
          <w:color w:val="000000"/>
          <w:lang w:val="fr-FR"/>
        </w:rPr>
        <w:t xml:space="preserve">: </w:t>
      </w:r>
      <w:r w:rsidRPr="000E673C">
        <w:rPr>
          <w:i/>
          <w:color w:val="000000"/>
          <w:lang w:val="fr-FR"/>
        </w:rPr>
        <w:t>Services de conception.</w:t>
      </w:r>
    </w:p>
    <w:p w14:paraId="0B54682A" w14:textId="77777777" w:rsidR="00DD3584" w:rsidRPr="000E673C" w:rsidRDefault="00DD3584" w:rsidP="007F1DD2">
      <w:pPr>
        <w:rPr>
          <w:lang w:val="fr-FR"/>
        </w:rPr>
      </w:pPr>
    </w:p>
    <w:p w14:paraId="0B54682D" w14:textId="5F318FC6" w:rsidR="00DD3584" w:rsidRPr="000E673C" w:rsidRDefault="00B93A94" w:rsidP="007F1DD2">
      <w:pPr>
        <w:jc w:val="both"/>
        <w:rPr>
          <w:lang w:val="fr-FR"/>
        </w:rPr>
      </w:pPr>
      <w:bookmarkStart w:id="11" w:name="chk-paragraph-9-3-1-2_nodeId--935830737"/>
      <w:bookmarkEnd w:id="7"/>
      <w:bookmarkEnd w:id="10"/>
      <w:r w:rsidRPr="000E673C">
        <w:rPr>
          <w:color w:val="000000"/>
          <w:lang w:val="fr-FR"/>
        </w:rPr>
        <w:t>Il convient de procéder à une interprétation des termes de la liste des</w:t>
      </w:r>
      <w:r w:rsidR="00197DE7" w:rsidRPr="000E673C">
        <w:rPr>
          <w:color w:val="000000"/>
          <w:lang w:val="fr-FR"/>
        </w:rPr>
        <w:t xml:space="preserve"> </w:t>
      </w:r>
      <w:r w:rsidRPr="000E673C">
        <w:rPr>
          <w:color w:val="000000"/>
          <w:lang w:val="fr-FR"/>
        </w:rPr>
        <w:t>produits et services</w:t>
      </w:r>
      <w:r w:rsidR="00197DE7" w:rsidRPr="000E673C">
        <w:rPr>
          <w:b/>
          <w:color w:val="000000"/>
          <w:lang w:val="fr-FR"/>
        </w:rPr>
        <w:t xml:space="preserve"> </w:t>
      </w:r>
      <w:r w:rsidRPr="000E673C">
        <w:rPr>
          <w:color w:val="000000"/>
          <w:lang w:val="fr-FR"/>
        </w:rPr>
        <w:t>afin de déterminer l’étendue de la protection de ces</w:t>
      </w:r>
      <w:r w:rsidR="00197DE7" w:rsidRPr="000E673C">
        <w:rPr>
          <w:color w:val="000000"/>
          <w:lang w:val="fr-FR"/>
        </w:rPr>
        <w:t xml:space="preserve"> </w:t>
      </w:r>
      <w:r w:rsidRPr="000E673C">
        <w:rPr>
          <w:color w:val="000000"/>
          <w:lang w:val="fr-FR"/>
        </w:rPr>
        <w:t>produits et services.</w:t>
      </w:r>
    </w:p>
    <w:p w14:paraId="0B54682E" w14:textId="77777777" w:rsidR="00DD3584" w:rsidRPr="000E673C" w:rsidRDefault="00DD3584" w:rsidP="007F1DD2">
      <w:pPr>
        <w:jc w:val="both"/>
        <w:rPr>
          <w:lang w:val="fr-FR"/>
        </w:rPr>
      </w:pPr>
    </w:p>
    <w:p w14:paraId="0B546835" w14:textId="019F4DDC" w:rsidR="00DD3584" w:rsidRPr="000E673C" w:rsidRDefault="00197DE7" w:rsidP="007F1DD2">
      <w:pPr>
        <w:jc w:val="both"/>
        <w:rPr>
          <w:color w:val="000000"/>
          <w:lang w:val="fr-FR"/>
        </w:rPr>
      </w:pPr>
      <w:r w:rsidRPr="000E673C">
        <w:rPr>
          <w:color w:val="000000"/>
          <w:lang w:val="fr-FR"/>
        </w:rPr>
        <w:t>L</w:t>
      </w:r>
      <w:r w:rsidR="00B93A94" w:rsidRPr="000E673C">
        <w:rPr>
          <w:color w:val="000000"/>
          <w:lang w:val="fr-FR"/>
        </w:rPr>
        <w:t>e terme</w:t>
      </w:r>
      <w:r w:rsidRPr="000E673C">
        <w:rPr>
          <w:color w:val="000000"/>
          <w:lang w:val="fr-FR"/>
        </w:rPr>
        <w:t xml:space="preserve"> « à savoir »</w:t>
      </w:r>
      <w:r w:rsidR="00B93A94" w:rsidRPr="000E673C">
        <w:rPr>
          <w:color w:val="000000"/>
          <w:lang w:val="fr-FR"/>
        </w:rPr>
        <w:t xml:space="preserve"> </w:t>
      </w:r>
      <w:proofErr w:type="gramStart"/>
      <w:r w:rsidR="00B93A94" w:rsidRPr="000E673C">
        <w:rPr>
          <w:color w:val="000000"/>
          <w:lang w:val="fr-FR"/>
        </w:rPr>
        <w:t>utilisé</w:t>
      </w:r>
      <w:proofErr w:type="gramEnd"/>
      <w:r w:rsidR="00B93A94" w:rsidRPr="000E673C">
        <w:rPr>
          <w:color w:val="000000"/>
          <w:lang w:val="fr-FR"/>
        </w:rPr>
        <w:t xml:space="preserve"> dans la liste de</w:t>
      </w:r>
      <w:r w:rsidRPr="000E673C">
        <w:rPr>
          <w:color w:val="000000"/>
          <w:lang w:val="fr-FR"/>
        </w:rPr>
        <w:t xml:space="preserve"> </w:t>
      </w:r>
      <w:r w:rsidR="00B93A94" w:rsidRPr="000E673C">
        <w:rPr>
          <w:color w:val="000000"/>
          <w:lang w:val="fr-FR"/>
        </w:rPr>
        <w:t>produits et services</w:t>
      </w:r>
      <w:r w:rsidRPr="000E673C">
        <w:rPr>
          <w:color w:val="000000"/>
          <w:lang w:val="fr-FR"/>
        </w:rPr>
        <w:t xml:space="preserve"> </w:t>
      </w:r>
      <w:r w:rsidR="00B93A94" w:rsidRPr="000E673C">
        <w:rPr>
          <w:color w:val="000000"/>
          <w:lang w:val="fr-FR"/>
        </w:rPr>
        <w:t>de</w:t>
      </w:r>
      <w:r w:rsidRPr="000E673C">
        <w:rPr>
          <w:color w:val="000000"/>
          <w:lang w:val="fr-FR"/>
        </w:rPr>
        <w:t xml:space="preserve"> </w:t>
      </w:r>
      <w:r w:rsidR="00B93A94" w:rsidRPr="000E673C">
        <w:rPr>
          <w:color w:val="000000"/>
          <w:lang w:val="fr-FR"/>
        </w:rPr>
        <w:t>l’opposante</w:t>
      </w:r>
      <w:r w:rsidRPr="000E673C">
        <w:rPr>
          <w:color w:val="000000"/>
          <w:lang w:val="fr-FR"/>
        </w:rPr>
        <w:t xml:space="preserve"> </w:t>
      </w:r>
      <w:r w:rsidR="00B93A94" w:rsidRPr="000E673C">
        <w:rPr>
          <w:color w:val="000000"/>
          <w:lang w:val="fr-FR"/>
        </w:rPr>
        <w:t>pour montrer le lien existant entre un produit donné et une catégorie plus large, est exclusif et restreint la portée de l’enregistrement aux</w:t>
      </w:r>
      <w:r w:rsidRPr="000E673C">
        <w:rPr>
          <w:color w:val="000000"/>
          <w:lang w:val="fr-FR"/>
        </w:rPr>
        <w:t xml:space="preserve"> </w:t>
      </w:r>
      <w:r w:rsidR="00B93A94" w:rsidRPr="000E673C">
        <w:rPr>
          <w:color w:val="000000"/>
          <w:lang w:val="fr-FR"/>
        </w:rPr>
        <w:t>produits et services</w:t>
      </w:r>
      <w:r w:rsidRPr="000E673C">
        <w:rPr>
          <w:color w:val="000000"/>
          <w:lang w:val="fr-FR"/>
        </w:rPr>
        <w:t xml:space="preserve"> </w:t>
      </w:r>
      <w:r w:rsidR="00B93A94" w:rsidRPr="000E673C">
        <w:rPr>
          <w:color w:val="000000"/>
          <w:lang w:val="fr-FR"/>
        </w:rPr>
        <w:t>spécifiques visés (04/10/2016, T</w:t>
      </w:r>
      <w:r w:rsidR="00B93A94" w:rsidRPr="000E673C">
        <w:rPr>
          <w:rFonts w:ascii="Cambria Math" w:hAnsi="Cambria Math"/>
          <w:color w:val="000000"/>
          <w:lang w:val="fr-FR"/>
        </w:rPr>
        <w:t>‑</w:t>
      </w:r>
      <w:r w:rsidR="00B93A94" w:rsidRPr="000E673C">
        <w:rPr>
          <w:color w:val="000000"/>
          <w:lang w:val="fr-FR"/>
        </w:rPr>
        <w:t xml:space="preserve">549/14, Castello / Castelló et al., </w:t>
      </w:r>
      <w:proofErr w:type="gramStart"/>
      <w:r w:rsidR="00B93A94" w:rsidRPr="000E673C">
        <w:rPr>
          <w:color w:val="000000"/>
          <w:lang w:val="fr-FR"/>
        </w:rPr>
        <w:t>EU:T</w:t>
      </w:r>
      <w:proofErr w:type="gramEnd"/>
      <w:r w:rsidR="00B93A94" w:rsidRPr="000E673C">
        <w:rPr>
          <w:color w:val="000000"/>
          <w:lang w:val="fr-FR"/>
        </w:rPr>
        <w:t>:</w:t>
      </w:r>
      <w:proofErr w:type="gramStart"/>
      <w:r w:rsidR="00B93A94" w:rsidRPr="000E673C">
        <w:rPr>
          <w:color w:val="000000"/>
          <w:lang w:val="fr-FR"/>
        </w:rPr>
        <w:t>2016:</w:t>
      </w:r>
      <w:proofErr w:type="gramEnd"/>
      <w:r w:rsidR="00B93A94" w:rsidRPr="000E673C">
        <w:rPr>
          <w:color w:val="000000"/>
          <w:lang w:val="fr-FR"/>
        </w:rPr>
        <w:t xml:space="preserve">594, § </w:t>
      </w:r>
      <w:proofErr w:type="gramStart"/>
      <w:r w:rsidR="00B93A94" w:rsidRPr="000E673C">
        <w:rPr>
          <w:color w:val="000000"/>
          <w:lang w:val="fr-FR"/>
        </w:rPr>
        <w:t>71;</w:t>
      </w:r>
      <w:proofErr w:type="gramEnd"/>
      <w:r w:rsidR="00B93A94" w:rsidRPr="000E673C">
        <w:rPr>
          <w:color w:val="000000"/>
          <w:lang w:val="fr-FR"/>
        </w:rPr>
        <w:t xml:space="preserve"> 31/01/2024, T</w:t>
      </w:r>
      <w:r w:rsidR="00B93A94" w:rsidRPr="000E673C">
        <w:rPr>
          <w:rFonts w:ascii="Cambria Math" w:hAnsi="Cambria Math"/>
          <w:color w:val="000000"/>
          <w:lang w:val="fr-FR"/>
        </w:rPr>
        <w:t>‑</w:t>
      </w:r>
      <w:r w:rsidR="00B93A94" w:rsidRPr="000E673C">
        <w:rPr>
          <w:color w:val="000000"/>
          <w:lang w:val="fr-FR"/>
        </w:rPr>
        <w:t xml:space="preserve">581/22, ECE QUALITY OF LIFE (fig.) / ECE (fig.), </w:t>
      </w:r>
      <w:proofErr w:type="gramStart"/>
      <w:r w:rsidR="00B93A94" w:rsidRPr="000E673C">
        <w:rPr>
          <w:color w:val="000000"/>
          <w:lang w:val="fr-FR"/>
        </w:rPr>
        <w:t>EU:T</w:t>
      </w:r>
      <w:proofErr w:type="gramEnd"/>
      <w:r w:rsidR="00B93A94" w:rsidRPr="000E673C">
        <w:rPr>
          <w:color w:val="000000"/>
          <w:lang w:val="fr-FR"/>
        </w:rPr>
        <w:t>:</w:t>
      </w:r>
      <w:proofErr w:type="gramStart"/>
      <w:r w:rsidR="00B93A94" w:rsidRPr="000E673C">
        <w:rPr>
          <w:color w:val="000000"/>
          <w:lang w:val="fr-FR"/>
        </w:rPr>
        <w:t>2024:</w:t>
      </w:r>
      <w:proofErr w:type="gramEnd"/>
      <w:r w:rsidR="00B93A94" w:rsidRPr="000E673C">
        <w:rPr>
          <w:color w:val="000000"/>
          <w:lang w:val="fr-FR"/>
        </w:rPr>
        <w:t>47, § 43).</w:t>
      </w:r>
    </w:p>
    <w:p w14:paraId="3DC6E3AD" w14:textId="77777777" w:rsidR="00197DE7" w:rsidRPr="000E673C" w:rsidRDefault="00197DE7" w:rsidP="007F1DD2">
      <w:pPr>
        <w:jc w:val="both"/>
        <w:rPr>
          <w:color w:val="000000"/>
          <w:lang w:val="fr-FR"/>
        </w:rPr>
      </w:pPr>
    </w:p>
    <w:p w14:paraId="6D12BE19" w14:textId="2B925F32" w:rsidR="00197DE7" w:rsidRPr="000E673C" w:rsidRDefault="00197DE7" w:rsidP="007F1DD2">
      <w:pPr>
        <w:jc w:val="both"/>
        <w:rPr>
          <w:iCs/>
          <w:lang w:val="fr-FR"/>
        </w:rPr>
      </w:pPr>
      <w:r w:rsidRPr="000E673C">
        <w:rPr>
          <w:color w:val="000000"/>
          <w:lang w:val="fr-FR"/>
        </w:rPr>
        <w:t xml:space="preserve">Par ailleurs l’expression </w:t>
      </w:r>
      <w:r w:rsidRPr="000E673C">
        <w:rPr>
          <w:i/>
          <w:color w:val="000000"/>
          <w:lang w:val="fr-FR"/>
        </w:rPr>
        <w:t xml:space="preserve">tous ces produits étant susceptibles d’être connectés, intelligents et/ou de faire appel à l’intelligence artificielle </w:t>
      </w:r>
      <w:r w:rsidRPr="000E673C">
        <w:rPr>
          <w:iCs/>
          <w:color w:val="000000"/>
          <w:lang w:val="fr-FR"/>
        </w:rPr>
        <w:t xml:space="preserve">à la fin de la liste de chaque classe de produits de l’opposante n’a pas d’impact sur l’étendue de la protection de chaque produit. Par conséquent, lors de la comparaison qui s’ensuit, la division d’opposition ne reprendra pas cette expression qui ne limite pas ni </w:t>
      </w:r>
      <w:r w:rsidR="00721EE3" w:rsidRPr="000E673C">
        <w:rPr>
          <w:iCs/>
          <w:color w:val="000000"/>
          <w:lang w:val="fr-FR"/>
        </w:rPr>
        <w:t>n’</w:t>
      </w:r>
      <w:r w:rsidRPr="000E673C">
        <w:rPr>
          <w:iCs/>
          <w:color w:val="000000"/>
          <w:lang w:val="fr-FR"/>
        </w:rPr>
        <w:t>élargit l</w:t>
      </w:r>
      <w:r w:rsidR="00721EE3" w:rsidRPr="000E673C">
        <w:rPr>
          <w:iCs/>
          <w:color w:val="000000"/>
          <w:lang w:val="fr-FR"/>
        </w:rPr>
        <w:t>e champ de</w:t>
      </w:r>
      <w:r w:rsidRPr="000E673C">
        <w:rPr>
          <w:iCs/>
          <w:color w:val="000000"/>
          <w:lang w:val="fr-FR"/>
        </w:rPr>
        <w:t xml:space="preserve"> protection des produits en cause. </w:t>
      </w:r>
    </w:p>
    <w:p w14:paraId="0B546842" w14:textId="18046317" w:rsidR="00DD3584" w:rsidRPr="000E673C" w:rsidRDefault="00B93A94" w:rsidP="007F1DD2">
      <w:pPr>
        <w:jc w:val="both"/>
        <w:rPr>
          <w:lang w:val="fr-FR"/>
        </w:rPr>
      </w:pPr>
      <w:r w:rsidRPr="000E673C">
        <w:rPr>
          <w:color w:val="000000"/>
          <w:lang w:val="fr-FR"/>
        </w:rPr>
        <w:t> </w:t>
      </w:r>
    </w:p>
    <w:p w14:paraId="0B546843" w14:textId="4EA0200E" w:rsidR="00DD3584" w:rsidRPr="000E673C" w:rsidRDefault="00B93A94" w:rsidP="007F1DD2">
      <w:pPr>
        <w:jc w:val="both"/>
        <w:rPr>
          <w:color w:val="000000"/>
          <w:lang w:val="fr-FR"/>
        </w:rPr>
      </w:pPr>
      <w:r w:rsidRPr="000E673C">
        <w:rPr>
          <w:color w:val="000000"/>
          <w:lang w:val="fr-FR"/>
        </w:rPr>
        <w:t>À titre de remarque préliminaire, il convient de noter que selon l’article 33, paragraphe 7, du RMUE, des produits et services ne sont pas considérés comme similaires ou différents au motif qu'ils apparaissent dans la même classe ou dans des classes différentes de la classification de Nice.</w:t>
      </w:r>
    </w:p>
    <w:p w14:paraId="38249500" w14:textId="77777777" w:rsidR="00D74794" w:rsidRPr="000E673C" w:rsidRDefault="00D74794" w:rsidP="007F1DD2">
      <w:pPr>
        <w:jc w:val="both"/>
        <w:rPr>
          <w:color w:val="000000"/>
          <w:lang w:val="fr-FR"/>
        </w:rPr>
      </w:pPr>
    </w:p>
    <w:p w14:paraId="77EC92AC" w14:textId="77777777" w:rsidR="00D74794" w:rsidRPr="000E673C" w:rsidRDefault="00D74794" w:rsidP="00022C11">
      <w:pPr>
        <w:jc w:val="both"/>
        <w:rPr>
          <w:lang w:val="fr-FR"/>
        </w:rPr>
      </w:pPr>
      <w:r w:rsidRPr="000E673C">
        <w:rPr>
          <w:color w:val="000000"/>
          <w:lang w:val="fr-FR"/>
        </w:rPr>
        <w:t>Les facteurs pertinents concernant la comparaison des produits ou services incluent, en particulier, leur nature et leur destination, leur utilisation ainsi que leur caractère concurrent ou complémentaire (les « critères Canon »). Il y a également lieu de tenir compte, outre les critères Canon, d’autres facteurs, à savoir des canaux de distribution, du public pertinent et de l’origine habituelle des produits ou services (02/06/2021, T</w:t>
      </w:r>
      <w:r w:rsidRPr="000E673C">
        <w:rPr>
          <w:rFonts w:ascii="Cambria Math" w:hAnsi="Cambria Math"/>
          <w:color w:val="000000"/>
          <w:lang w:val="fr-FR"/>
        </w:rPr>
        <w:t>‑</w:t>
      </w:r>
      <w:r w:rsidRPr="000E673C">
        <w:rPr>
          <w:color w:val="000000"/>
          <w:lang w:val="fr-FR"/>
        </w:rPr>
        <w:t xml:space="preserve">177/20, Hispano </w:t>
      </w:r>
      <w:proofErr w:type="spellStart"/>
      <w:r w:rsidRPr="000E673C">
        <w:rPr>
          <w:color w:val="000000"/>
          <w:lang w:val="fr-FR"/>
        </w:rPr>
        <w:t>Suiza</w:t>
      </w:r>
      <w:proofErr w:type="spellEnd"/>
      <w:r w:rsidRPr="000E673C">
        <w:rPr>
          <w:color w:val="000000"/>
          <w:lang w:val="fr-FR"/>
        </w:rPr>
        <w:t xml:space="preserve"> / Hispano </w:t>
      </w:r>
      <w:proofErr w:type="spellStart"/>
      <w:r w:rsidRPr="000E673C">
        <w:rPr>
          <w:color w:val="000000"/>
          <w:lang w:val="fr-FR"/>
        </w:rPr>
        <w:t>Suiza</w:t>
      </w:r>
      <w:proofErr w:type="spellEnd"/>
      <w:r w:rsidRPr="000E673C">
        <w:rPr>
          <w:color w:val="000000"/>
          <w:lang w:val="fr-FR"/>
        </w:rPr>
        <w:t xml:space="preserve">, </w:t>
      </w:r>
      <w:proofErr w:type="gramStart"/>
      <w:r w:rsidRPr="000E673C">
        <w:rPr>
          <w:color w:val="000000"/>
          <w:lang w:val="fr-FR"/>
        </w:rPr>
        <w:t>EU:T</w:t>
      </w:r>
      <w:proofErr w:type="gramEnd"/>
      <w:r w:rsidRPr="000E673C">
        <w:rPr>
          <w:color w:val="000000"/>
          <w:lang w:val="fr-FR"/>
        </w:rPr>
        <w:t>:</w:t>
      </w:r>
      <w:proofErr w:type="gramStart"/>
      <w:r w:rsidRPr="000E673C">
        <w:rPr>
          <w:color w:val="000000"/>
          <w:lang w:val="fr-FR"/>
        </w:rPr>
        <w:t>2021:</w:t>
      </w:r>
      <w:proofErr w:type="gramEnd"/>
      <w:r w:rsidRPr="000E673C">
        <w:rPr>
          <w:color w:val="000000"/>
          <w:lang w:val="fr-FR"/>
        </w:rPr>
        <w:t>312, § 21-22).</w:t>
      </w:r>
    </w:p>
    <w:p w14:paraId="397FEEAF" w14:textId="77777777" w:rsidR="00D74794" w:rsidRPr="000E673C" w:rsidRDefault="00D74794" w:rsidP="007F1DD2">
      <w:pPr>
        <w:jc w:val="both"/>
        <w:rPr>
          <w:lang w:val="fr-FR"/>
        </w:rPr>
      </w:pPr>
    </w:p>
    <w:p w14:paraId="0B546850" w14:textId="7A8763E8" w:rsidR="00DD3584" w:rsidRPr="000E673C" w:rsidRDefault="00B93A94" w:rsidP="007F1DD2">
      <w:pPr>
        <w:jc w:val="both"/>
        <w:rPr>
          <w:lang w:val="fr-FR"/>
        </w:rPr>
      </w:pPr>
      <w:bookmarkStart w:id="12" w:name="chk-paragraph-9-3-1-4_nodeId-2106898293"/>
      <w:bookmarkEnd w:id="11"/>
      <w:r w:rsidRPr="000E673C">
        <w:rPr>
          <w:color w:val="000000"/>
          <w:lang w:val="fr-FR"/>
        </w:rPr>
        <w:t> </w:t>
      </w:r>
    </w:p>
    <w:p w14:paraId="0B546856" w14:textId="300F51AA" w:rsidR="00DD3584" w:rsidRPr="000E673C" w:rsidRDefault="00197DE7" w:rsidP="007F1DD2">
      <w:pPr>
        <w:rPr>
          <w:lang w:val="fr-FR"/>
        </w:rPr>
      </w:pPr>
      <w:r w:rsidRPr="000E673C">
        <w:rPr>
          <w:b/>
          <w:color w:val="000000"/>
          <w:lang w:val="fr-FR"/>
        </w:rPr>
        <w:t>Produits contestés dans la classe</w:t>
      </w:r>
      <w:r w:rsidR="00B93A94" w:rsidRPr="000E673C">
        <w:rPr>
          <w:b/>
          <w:color w:val="000000"/>
          <w:lang w:val="fr-FR"/>
        </w:rPr>
        <w:t xml:space="preserve"> 14</w:t>
      </w:r>
    </w:p>
    <w:p w14:paraId="0B546857" w14:textId="23B73989" w:rsidR="00DD3584" w:rsidRPr="000E673C" w:rsidRDefault="00DD3584" w:rsidP="007F1DD2">
      <w:pPr>
        <w:rPr>
          <w:lang w:val="fr-FR"/>
        </w:rPr>
      </w:pPr>
    </w:p>
    <w:p w14:paraId="0B546858" w14:textId="295AD2FD" w:rsidR="00DD3584" w:rsidRPr="000E673C" w:rsidRDefault="00197DE7" w:rsidP="00197DE7">
      <w:pPr>
        <w:jc w:val="both"/>
        <w:rPr>
          <w:lang w:val="fr-FR"/>
        </w:rPr>
      </w:pPr>
      <w:r w:rsidRPr="000E673C">
        <w:rPr>
          <w:iCs/>
          <w:color w:val="000000"/>
          <w:lang w:val="fr-FR"/>
        </w:rPr>
        <w:t xml:space="preserve">Les </w:t>
      </w:r>
      <w:r w:rsidRPr="000E673C">
        <w:rPr>
          <w:i/>
          <w:color w:val="000000"/>
          <w:lang w:val="fr-FR"/>
        </w:rPr>
        <w:t xml:space="preserve">instruments </w:t>
      </w:r>
      <w:proofErr w:type="gramStart"/>
      <w:r w:rsidRPr="000E673C">
        <w:rPr>
          <w:i/>
          <w:color w:val="000000"/>
          <w:lang w:val="fr-FR"/>
        </w:rPr>
        <w:t>chronométriques;</w:t>
      </w:r>
      <w:proofErr w:type="gramEnd"/>
      <w:r w:rsidRPr="000E673C">
        <w:rPr>
          <w:i/>
          <w:color w:val="000000"/>
          <w:lang w:val="fr-FR"/>
        </w:rPr>
        <w:t xml:space="preserve"> coffrets à bijoux</w:t>
      </w:r>
      <w:r w:rsidRPr="000E673C">
        <w:rPr>
          <w:color w:val="000000"/>
          <w:lang w:val="fr-FR"/>
        </w:rPr>
        <w:t xml:space="preserve"> sont </w:t>
      </w:r>
      <w:r w:rsidR="00721EE3" w:rsidRPr="000E673C">
        <w:rPr>
          <w:color w:val="000000"/>
          <w:lang w:val="fr-FR"/>
        </w:rPr>
        <w:t xml:space="preserve">mentionnés </w:t>
      </w:r>
      <w:r w:rsidRPr="000E673C">
        <w:rPr>
          <w:color w:val="000000"/>
          <w:lang w:val="fr-FR"/>
        </w:rPr>
        <w:t xml:space="preserve">de façon </w:t>
      </w:r>
      <w:r w:rsidRPr="000E673C">
        <w:rPr>
          <w:color w:val="000000"/>
          <w:u w:val="single"/>
          <w:lang w:val="fr-FR"/>
        </w:rPr>
        <w:t>identique</w:t>
      </w:r>
      <w:r w:rsidRPr="000E673C">
        <w:rPr>
          <w:color w:val="000000"/>
          <w:lang w:val="fr-FR"/>
        </w:rPr>
        <w:t xml:space="preserve"> dans les deux listes de produits. Tandis que l</w:t>
      </w:r>
      <w:r w:rsidR="00B93A94" w:rsidRPr="000E673C">
        <w:rPr>
          <w:color w:val="000000"/>
          <w:lang w:val="fr-FR"/>
        </w:rPr>
        <w:t xml:space="preserve">es </w:t>
      </w:r>
      <w:r w:rsidR="00B93A94" w:rsidRPr="000E673C">
        <w:rPr>
          <w:i/>
          <w:color w:val="000000"/>
          <w:lang w:val="fr-FR"/>
        </w:rPr>
        <w:t>articles de bijouterie-joaillerie</w:t>
      </w:r>
      <w:r w:rsidR="00B93A94" w:rsidRPr="000E673C">
        <w:rPr>
          <w:color w:val="000000"/>
          <w:lang w:val="fr-FR"/>
        </w:rPr>
        <w:t xml:space="preserve"> </w:t>
      </w:r>
      <w:r w:rsidRPr="000E673C">
        <w:rPr>
          <w:color w:val="000000"/>
          <w:lang w:val="fr-FR"/>
        </w:rPr>
        <w:t xml:space="preserve">contestés sont des synonymes des produits de </w:t>
      </w:r>
      <w:proofErr w:type="gramStart"/>
      <w:r w:rsidRPr="000E673C">
        <w:rPr>
          <w:i/>
          <w:iCs/>
          <w:color w:val="000000"/>
          <w:lang w:val="fr-FR"/>
        </w:rPr>
        <w:t>joaillerie;</w:t>
      </w:r>
      <w:proofErr w:type="gramEnd"/>
      <w:r w:rsidRPr="000E673C">
        <w:rPr>
          <w:i/>
          <w:iCs/>
          <w:color w:val="000000"/>
          <w:lang w:val="fr-FR"/>
        </w:rPr>
        <w:t xml:space="preserve"> bijouterie </w:t>
      </w:r>
      <w:r w:rsidRPr="000E673C">
        <w:rPr>
          <w:color w:val="000000"/>
          <w:lang w:val="fr-FR"/>
        </w:rPr>
        <w:t xml:space="preserve">de l’opposante, ils sont donc </w:t>
      </w:r>
      <w:r w:rsidRPr="000E673C">
        <w:rPr>
          <w:color w:val="000000"/>
          <w:u w:val="single"/>
          <w:lang w:val="fr-FR"/>
        </w:rPr>
        <w:t>identiques</w:t>
      </w:r>
      <w:r w:rsidRPr="000E673C">
        <w:rPr>
          <w:color w:val="000000"/>
          <w:lang w:val="fr-FR"/>
        </w:rPr>
        <w:t xml:space="preserve">. </w:t>
      </w:r>
    </w:p>
    <w:p w14:paraId="0120D307" w14:textId="77777777" w:rsidR="00197DE7" w:rsidRPr="000E673C" w:rsidRDefault="00197DE7" w:rsidP="007F1DD2">
      <w:pPr>
        <w:rPr>
          <w:color w:val="000000"/>
          <w:lang w:val="fr-FR"/>
        </w:rPr>
      </w:pPr>
    </w:p>
    <w:p w14:paraId="5BDC7631" w14:textId="19D8CCF6" w:rsidR="00197DE7" w:rsidRPr="000E673C" w:rsidRDefault="00130BB5" w:rsidP="00130BB5">
      <w:pPr>
        <w:jc w:val="both"/>
        <w:rPr>
          <w:iCs/>
          <w:color w:val="000000"/>
          <w:lang w:val="fr-FR"/>
        </w:rPr>
      </w:pPr>
      <w:r w:rsidRPr="003A4319">
        <w:rPr>
          <w:iCs/>
          <w:color w:val="000000"/>
          <w:highlight w:val="yellow"/>
          <w:lang w:val="fr-FR"/>
        </w:rPr>
        <w:t>Par ailleurs, les</w:t>
      </w:r>
      <w:r w:rsidRPr="003A4319">
        <w:rPr>
          <w:i/>
          <w:color w:val="000000"/>
          <w:highlight w:val="yellow"/>
          <w:lang w:val="fr-FR"/>
        </w:rPr>
        <w:t xml:space="preserve"> pierres précieuses et métaux précieux </w:t>
      </w:r>
      <w:r w:rsidRPr="003A4319">
        <w:rPr>
          <w:iCs/>
          <w:color w:val="000000"/>
          <w:highlight w:val="yellow"/>
          <w:lang w:val="fr-FR"/>
        </w:rPr>
        <w:t xml:space="preserve">sont également </w:t>
      </w:r>
      <w:r w:rsidR="00721EE3" w:rsidRPr="003A4319">
        <w:rPr>
          <w:color w:val="000000"/>
          <w:highlight w:val="yellow"/>
          <w:lang w:val="fr-FR"/>
        </w:rPr>
        <w:t xml:space="preserve">mentionnés </w:t>
      </w:r>
      <w:r w:rsidRPr="003A4319">
        <w:rPr>
          <w:iCs/>
          <w:color w:val="000000"/>
          <w:highlight w:val="yellow"/>
          <w:lang w:val="fr-FR"/>
        </w:rPr>
        <w:t xml:space="preserve">de façon identique dans les deux listes de produits tandis que </w:t>
      </w:r>
      <w:r w:rsidRPr="003A4319">
        <w:rPr>
          <w:i/>
          <w:color w:val="000000"/>
          <w:highlight w:val="yellow"/>
          <w:lang w:val="fr-FR"/>
        </w:rPr>
        <w:t>leurs imitations</w:t>
      </w:r>
      <w:r w:rsidRPr="003A4319">
        <w:rPr>
          <w:iCs/>
          <w:color w:val="000000"/>
          <w:highlight w:val="yellow"/>
          <w:lang w:val="fr-FR"/>
        </w:rPr>
        <w:t xml:space="preserve"> contestées sont </w:t>
      </w:r>
      <w:r w:rsidRPr="003A4319">
        <w:rPr>
          <w:iCs/>
          <w:color w:val="000000"/>
          <w:highlight w:val="yellow"/>
          <w:u w:val="single"/>
          <w:lang w:val="fr-FR"/>
        </w:rPr>
        <w:t>très similaires</w:t>
      </w:r>
      <w:r w:rsidRPr="003A4319">
        <w:rPr>
          <w:iCs/>
          <w:color w:val="000000"/>
          <w:highlight w:val="yellow"/>
          <w:lang w:val="fr-FR"/>
        </w:rPr>
        <w:t xml:space="preserve"> aux </w:t>
      </w:r>
      <w:r w:rsidRPr="003A4319">
        <w:rPr>
          <w:i/>
          <w:color w:val="000000"/>
          <w:highlight w:val="yellow"/>
          <w:lang w:val="fr-FR"/>
        </w:rPr>
        <w:t xml:space="preserve">pierres précieuses; métaux précieux </w:t>
      </w:r>
      <w:r w:rsidRPr="003A4319">
        <w:rPr>
          <w:iCs/>
          <w:color w:val="000000"/>
          <w:highlight w:val="yellow"/>
          <w:lang w:val="fr-FR"/>
        </w:rPr>
        <w:t xml:space="preserve">de l’opposante étant donné que si leurs </w:t>
      </w:r>
      <w:r w:rsidRPr="003A4319">
        <w:rPr>
          <w:iCs/>
          <w:color w:val="000000"/>
          <w:highlight w:val="yellow"/>
          <w:lang w:val="fr-FR"/>
        </w:rPr>
        <w:lastRenderedPageBreak/>
        <w:t>natures sont différentes il n’en demeure pas moins que de tels produits ont la même destination, la même méthode d’utilisation, en plus de viser le même public, à travers les mêmes points de vente et d’être aussi produits par les mêmes entreprises. Enfin, ces produits sont aussi en situation de concurrence</w:t>
      </w:r>
      <w:r w:rsidRPr="000E673C">
        <w:rPr>
          <w:iCs/>
          <w:color w:val="000000"/>
          <w:lang w:val="fr-FR"/>
        </w:rPr>
        <w:t xml:space="preserve">. Enfin, pour les mêmes raisons, les </w:t>
      </w:r>
      <w:r w:rsidRPr="000E673C">
        <w:rPr>
          <w:i/>
          <w:color w:val="000000"/>
          <w:lang w:val="fr-FR"/>
        </w:rPr>
        <w:t xml:space="preserve">perles, et leurs imitations </w:t>
      </w:r>
      <w:r w:rsidRPr="000E673C">
        <w:rPr>
          <w:iCs/>
          <w:color w:val="000000"/>
          <w:lang w:val="fr-FR"/>
        </w:rPr>
        <w:t xml:space="preserve">contestées sont </w:t>
      </w:r>
      <w:r w:rsidRPr="000E673C">
        <w:rPr>
          <w:iCs/>
          <w:color w:val="000000"/>
          <w:u w:val="single"/>
          <w:lang w:val="fr-FR"/>
        </w:rPr>
        <w:t>à tout le moins similaires</w:t>
      </w:r>
      <w:r w:rsidRPr="000E673C">
        <w:rPr>
          <w:iCs/>
          <w:color w:val="000000"/>
          <w:lang w:val="fr-FR"/>
        </w:rPr>
        <w:t xml:space="preserve"> aux </w:t>
      </w:r>
      <w:r w:rsidRPr="000E673C">
        <w:rPr>
          <w:i/>
          <w:color w:val="000000"/>
          <w:lang w:val="fr-FR"/>
        </w:rPr>
        <w:t>pierres précieuses</w:t>
      </w:r>
      <w:r w:rsidRPr="000E673C">
        <w:rPr>
          <w:iCs/>
          <w:color w:val="000000"/>
          <w:lang w:val="fr-FR"/>
        </w:rPr>
        <w:t xml:space="preserve"> de l’opposante. En effet, ces produits ont certainement la même destination et la même méthode d’utilisation et </w:t>
      </w:r>
      <w:r w:rsidR="00721EE3" w:rsidRPr="000E673C">
        <w:rPr>
          <w:iCs/>
          <w:color w:val="000000"/>
          <w:lang w:val="fr-FR"/>
        </w:rPr>
        <w:t>i</w:t>
      </w:r>
      <w:r w:rsidRPr="000E673C">
        <w:rPr>
          <w:iCs/>
          <w:color w:val="000000"/>
          <w:lang w:val="fr-FR"/>
        </w:rPr>
        <w:t>ls coïncident au moins en leurs point de vente mais également en ce qu’</w:t>
      </w:r>
      <w:r w:rsidR="00721EE3" w:rsidRPr="000E673C">
        <w:rPr>
          <w:iCs/>
          <w:color w:val="000000"/>
          <w:lang w:val="fr-FR"/>
        </w:rPr>
        <w:t>i</w:t>
      </w:r>
      <w:r w:rsidRPr="000E673C">
        <w:rPr>
          <w:iCs/>
          <w:color w:val="000000"/>
          <w:lang w:val="fr-FR"/>
        </w:rPr>
        <w:t>ls visent le même public. Il ne peut non plus être exclu qu’</w:t>
      </w:r>
      <w:r w:rsidR="00721EE3" w:rsidRPr="000E673C">
        <w:rPr>
          <w:iCs/>
          <w:color w:val="000000"/>
          <w:lang w:val="fr-FR"/>
        </w:rPr>
        <w:t>i</w:t>
      </w:r>
      <w:r w:rsidRPr="000E673C">
        <w:rPr>
          <w:iCs/>
          <w:color w:val="000000"/>
          <w:lang w:val="fr-FR"/>
        </w:rPr>
        <w:t xml:space="preserve">ls soient en concurrence.  </w:t>
      </w:r>
    </w:p>
    <w:p w14:paraId="0B54685D" w14:textId="5EB0C4BE" w:rsidR="00DD3584" w:rsidRPr="000E673C" w:rsidRDefault="00DD3584" w:rsidP="007F1DD2">
      <w:pPr>
        <w:rPr>
          <w:lang w:val="fr-FR"/>
        </w:rPr>
      </w:pPr>
    </w:p>
    <w:p w14:paraId="0B54685E" w14:textId="2D3BC951" w:rsidR="00DD3584" w:rsidRPr="000E673C" w:rsidRDefault="00B93A94" w:rsidP="008A2214">
      <w:pPr>
        <w:jc w:val="both"/>
        <w:rPr>
          <w:lang w:val="fr-FR"/>
        </w:rPr>
      </w:pPr>
      <w:r w:rsidRPr="000E673C">
        <w:rPr>
          <w:color w:val="000000"/>
          <w:lang w:val="fr-FR"/>
        </w:rPr>
        <w:t xml:space="preserve">Les </w:t>
      </w:r>
      <w:r w:rsidRPr="000E673C">
        <w:rPr>
          <w:i/>
          <w:color w:val="000000"/>
          <w:lang w:val="fr-FR"/>
        </w:rPr>
        <w:t>coffrets à montres</w:t>
      </w:r>
      <w:r w:rsidRPr="000E673C">
        <w:rPr>
          <w:color w:val="000000"/>
          <w:lang w:val="fr-FR"/>
        </w:rPr>
        <w:t xml:space="preserve"> contestés sont inclus dans la</w:t>
      </w:r>
      <w:r w:rsidR="008A2214" w:rsidRPr="000E673C">
        <w:rPr>
          <w:color w:val="000000"/>
          <w:lang w:val="fr-FR"/>
        </w:rPr>
        <w:t xml:space="preserve"> catégorie générale des</w:t>
      </w:r>
      <w:r w:rsidRPr="000E673C">
        <w:rPr>
          <w:color w:val="000000"/>
          <w:lang w:val="fr-FR"/>
        </w:rPr>
        <w:t xml:space="preserve"> </w:t>
      </w:r>
      <w:r w:rsidRPr="000E673C">
        <w:rPr>
          <w:i/>
          <w:color w:val="000000"/>
          <w:lang w:val="fr-FR"/>
        </w:rPr>
        <w:t>étuis et écrins pour l’horlogerie et la bijouterie</w:t>
      </w:r>
      <w:r w:rsidRPr="000E673C">
        <w:rPr>
          <w:color w:val="000000"/>
          <w:lang w:val="fr-FR"/>
        </w:rPr>
        <w:t xml:space="preserve"> de l'opposante. </w:t>
      </w:r>
      <w:r w:rsidR="008A2214" w:rsidRPr="000E673C">
        <w:rPr>
          <w:color w:val="000000"/>
          <w:lang w:val="fr-FR"/>
        </w:rPr>
        <w:t>Dès lors, i</w:t>
      </w:r>
      <w:r w:rsidRPr="000E673C">
        <w:rPr>
          <w:color w:val="000000"/>
          <w:lang w:val="fr-FR"/>
        </w:rPr>
        <w:t xml:space="preserve">ls sont </w:t>
      </w:r>
      <w:r w:rsidRPr="000E673C">
        <w:rPr>
          <w:color w:val="000000"/>
          <w:u w:val="single"/>
          <w:lang w:val="fr-FR"/>
        </w:rPr>
        <w:t>identiques</w:t>
      </w:r>
      <w:r w:rsidRPr="000E673C">
        <w:rPr>
          <w:color w:val="000000"/>
          <w:lang w:val="fr-FR"/>
        </w:rPr>
        <w:t>.</w:t>
      </w:r>
    </w:p>
    <w:p w14:paraId="52DCBA39" w14:textId="77777777" w:rsidR="008A2214" w:rsidRPr="000E673C" w:rsidRDefault="008A2214" w:rsidP="007F1DD2">
      <w:pPr>
        <w:rPr>
          <w:color w:val="000000"/>
          <w:lang w:val="fr-FR"/>
        </w:rPr>
      </w:pPr>
    </w:p>
    <w:p w14:paraId="6939CC36" w14:textId="0DB63993" w:rsidR="008A2214" w:rsidRPr="000E673C" w:rsidRDefault="008A2214" w:rsidP="008A2214">
      <w:pPr>
        <w:rPr>
          <w:lang w:val="fr-FR"/>
        </w:rPr>
      </w:pPr>
      <w:r w:rsidRPr="000E673C">
        <w:rPr>
          <w:b/>
          <w:color w:val="000000"/>
          <w:lang w:val="fr-FR"/>
        </w:rPr>
        <w:t>Produits contestés dans la classe 18</w:t>
      </w:r>
    </w:p>
    <w:p w14:paraId="6FF1EF08" w14:textId="77777777" w:rsidR="008A2214" w:rsidRPr="000E673C" w:rsidRDefault="008A2214" w:rsidP="007F1DD2">
      <w:pPr>
        <w:rPr>
          <w:color w:val="000000"/>
          <w:lang w:val="fr-FR"/>
        </w:rPr>
      </w:pPr>
    </w:p>
    <w:p w14:paraId="2C97E720" w14:textId="688BFA9E" w:rsidR="008A2214" w:rsidRPr="000E673C" w:rsidRDefault="008A2214" w:rsidP="008A2214">
      <w:pPr>
        <w:jc w:val="both"/>
        <w:rPr>
          <w:color w:val="000000"/>
          <w:lang w:val="fr-FR"/>
        </w:rPr>
      </w:pPr>
      <w:r w:rsidRPr="000E673C">
        <w:rPr>
          <w:color w:val="000000"/>
          <w:lang w:val="fr-FR"/>
        </w:rPr>
        <w:t xml:space="preserve">Si les </w:t>
      </w:r>
      <w:proofErr w:type="gramStart"/>
      <w:r w:rsidRPr="000E673C">
        <w:rPr>
          <w:i/>
          <w:color w:val="000000"/>
          <w:lang w:val="fr-FR"/>
        </w:rPr>
        <w:t>sacs;</w:t>
      </w:r>
      <w:proofErr w:type="gramEnd"/>
      <w:r w:rsidRPr="000E673C">
        <w:rPr>
          <w:i/>
          <w:color w:val="000000"/>
          <w:lang w:val="fr-FR"/>
        </w:rPr>
        <w:t xml:space="preserve"> portefeuilles</w:t>
      </w:r>
      <w:r w:rsidRPr="000E673C">
        <w:rPr>
          <w:color w:val="000000"/>
          <w:lang w:val="fr-FR"/>
        </w:rPr>
        <w:t xml:space="preserve"> sont indiqués de façon </w:t>
      </w:r>
      <w:r w:rsidRPr="000E673C">
        <w:rPr>
          <w:color w:val="000000"/>
          <w:u w:val="single"/>
          <w:lang w:val="fr-FR"/>
        </w:rPr>
        <w:t>identique</w:t>
      </w:r>
      <w:r w:rsidRPr="000E673C">
        <w:rPr>
          <w:color w:val="000000"/>
          <w:lang w:val="fr-FR"/>
        </w:rPr>
        <w:t xml:space="preserve"> dans les deux listes de produits, les </w:t>
      </w:r>
      <w:r w:rsidRPr="000E673C">
        <w:rPr>
          <w:i/>
          <w:iCs/>
          <w:color w:val="000000"/>
          <w:lang w:val="fr-FR"/>
        </w:rPr>
        <w:t xml:space="preserve">bagages </w:t>
      </w:r>
      <w:r w:rsidRPr="000E673C">
        <w:rPr>
          <w:i/>
          <w:color w:val="000000"/>
          <w:lang w:val="fr-FR"/>
        </w:rPr>
        <w:t>et autres objets de transport</w:t>
      </w:r>
      <w:r w:rsidRPr="000E673C">
        <w:rPr>
          <w:color w:val="000000"/>
          <w:lang w:val="fr-FR"/>
        </w:rPr>
        <w:t xml:space="preserve"> inclu</w:t>
      </w:r>
      <w:r w:rsidR="00832E1D" w:rsidRPr="000E673C">
        <w:rPr>
          <w:color w:val="000000"/>
          <w:lang w:val="fr-FR"/>
        </w:rPr>
        <w:t>ent</w:t>
      </w:r>
      <w:r w:rsidRPr="000E673C">
        <w:rPr>
          <w:color w:val="000000"/>
          <w:lang w:val="fr-FR"/>
        </w:rPr>
        <w:t xml:space="preserve">, sont inclus, ou à tout le moins se chevauchent avec les </w:t>
      </w:r>
      <w:r w:rsidRPr="000E673C">
        <w:rPr>
          <w:i/>
          <w:iCs/>
          <w:color w:val="000000"/>
          <w:lang w:val="fr-FR"/>
        </w:rPr>
        <w:t xml:space="preserve">sacs </w:t>
      </w:r>
      <w:r w:rsidRPr="000E673C">
        <w:rPr>
          <w:color w:val="000000"/>
          <w:lang w:val="fr-FR"/>
        </w:rPr>
        <w:t xml:space="preserve">de l’opposante, dès lors ces produits sont aussi </w:t>
      </w:r>
      <w:r w:rsidRPr="000E673C">
        <w:rPr>
          <w:color w:val="000000"/>
          <w:u w:val="single"/>
          <w:lang w:val="fr-FR"/>
        </w:rPr>
        <w:t>identiques</w:t>
      </w:r>
      <w:r w:rsidRPr="000E673C">
        <w:rPr>
          <w:color w:val="000000"/>
          <w:lang w:val="fr-FR"/>
        </w:rPr>
        <w:t>.</w:t>
      </w:r>
    </w:p>
    <w:p w14:paraId="51CD2F14" w14:textId="77777777" w:rsidR="008A2214" w:rsidRPr="000E673C" w:rsidRDefault="008A2214" w:rsidP="007F1DD2">
      <w:pPr>
        <w:rPr>
          <w:color w:val="000000"/>
          <w:lang w:val="fr-FR"/>
        </w:rPr>
      </w:pPr>
    </w:p>
    <w:p w14:paraId="6DF136E8" w14:textId="648FBAB9" w:rsidR="008A2214" w:rsidRPr="000E673C" w:rsidRDefault="008A2214" w:rsidP="008A2214">
      <w:pPr>
        <w:rPr>
          <w:lang w:val="fr-FR"/>
        </w:rPr>
      </w:pPr>
      <w:r w:rsidRPr="000E673C">
        <w:rPr>
          <w:b/>
          <w:color w:val="000000"/>
          <w:lang w:val="fr-FR"/>
        </w:rPr>
        <w:t>Produits contestés dans la classe 25</w:t>
      </w:r>
    </w:p>
    <w:p w14:paraId="1013F4F7" w14:textId="77777777" w:rsidR="00832E1D" w:rsidRPr="000E673C" w:rsidRDefault="00832E1D" w:rsidP="007F1DD2">
      <w:pPr>
        <w:rPr>
          <w:color w:val="000000"/>
          <w:lang w:val="fr-FR"/>
        </w:rPr>
      </w:pPr>
    </w:p>
    <w:p w14:paraId="0B546882" w14:textId="64B39FE3" w:rsidR="00DD3584" w:rsidRPr="000E673C" w:rsidRDefault="00832E1D" w:rsidP="00832E1D">
      <w:pPr>
        <w:jc w:val="both"/>
        <w:rPr>
          <w:lang w:val="fr-FR"/>
        </w:rPr>
      </w:pPr>
      <w:r w:rsidRPr="000E673C">
        <w:rPr>
          <w:color w:val="000000"/>
          <w:lang w:val="fr-FR"/>
        </w:rPr>
        <w:t xml:space="preserve">Les </w:t>
      </w:r>
      <w:proofErr w:type="gramStart"/>
      <w:r w:rsidR="00B93A94" w:rsidRPr="000E673C">
        <w:rPr>
          <w:i/>
          <w:color w:val="000000"/>
          <w:lang w:val="fr-FR"/>
        </w:rPr>
        <w:t>vêtements;</w:t>
      </w:r>
      <w:proofErr w:type="gramEnd"/>
      <w:r w:rsidR="00B93A94" w:rsidRPr="000E673C">
        <w:rPr>
          <w:i/>
          <w:color w:val="000000"/>
          <w:lang w:val="fr-FR"/>
        </w:rPr>
        <w:t xml:space="preserve"> </w:t>
      </w:r>
      <w:proofErr w:type="gramStart"/>
      <w:r w:rsidR="00B93A94" w:rsidRPr="000E673C">
        <w:rPr>
          <w:i/>
          <w:color w:val="000000"/>
          <w:lang w:val="fr-FR"/>
        </w:rPr>
        <w:t>chapellerie</w:t>
      </w:r>
      <w:r w:rsidRPr="000E673C">
        <w:rPr>
          <w:i/>
          <w:color w:val="000000"/>
          <w:lang w:val="fr-FR"/>
        </w:rPr>
        <w:t>;</w:t>
      </w:r>
      <w:proofErr w:type="gramEnd"/>
      <w:r w:rsidRPr="000E673C">
        <w:rPr>
          <w:i/>
          <w:color w:val="000000"/>
          <w:lang w:val="fr-FR"/>
        </w:rPr>
        <w:t xml:space="preserve"> article de chapellerie</w:t>
      </w:r>
      <w:r w:rsidR="00B93A94" w:rsidRPr="000E673C">
        <w:rPr>
          <w:color w:val="000000"/>
          <w:lang w:val="fr-FR"/>
        </w:rPr>
        <w:t xml:space="preserve"> sont indiqués de façon </w:t>
      </w:r>
      <w:r w:rsidR="00B93A94" w:rsidRPr="000E673C">
        <w:rPr>
          <w:color w:val="000000"/>
          <w:u w:val="single"/>
          <w:lang w:val="fr-FR"/>
        </w:rPr>
        <w:t>identique</w:t>
      </w:r>
      <w:r w:rsidR="00B93A94" w:rsidRPr="000E673C">
        <w:rPr>
          <w:color w:val="000000"/>
          <w:lang w:val="fr-FR"/>
        </w:rPr>
        <w:t xml:space="preserve"> dans les deux listes de produits</w:t>
      </w:r>
      <w:r w:rsidRPr="000E673C">
        <w:rPr>
          <w:color w:val="000000"/>
          <w:lang w:val="fr-FR"/>
        </w:rPr>
        <w:t xml:space="preserve"> (incluant les synonymes)</w:t>
      </w:r>
      <w:r w:rsidR="00B93A94" w:rsidRPr="000E673C">
        <w:rPr>
          <w:color w:val="000000"/>
          <w:lang w:val="fr-FR"/>
        </w:rPr>
        <w:t>.</w:t>
      </w:r>
    </w:p>
    <w:p w14:paraId="275380B0" w14:textId="77777777" w:rsidR="00832E1D" w:rsidRPr="000E673C" w:rsidRDefault="00832E1D" w:rsidP="007F1DD2">
      <w:pPr>
        <w:rPr>
          <w:color w:val="000000"/>
          <w:lang w:val="fr-FR"/>
        </w:rPr>
      </w:pPr>
    </w:p>
    <w:p w14:paraId="52E85A1D" w14:textId="66D1C789" w:rsidR="00832E1D" w:rsidRPr="000E673C" w:rsidRDefault="00B93A94" w:rsidP="00832E1D">
      <w:pPr>
        <w:jc w:val="both"/>
        <w:rPr>
          <w:lang w:val="fr-FR"/>
        </w:rPr>
      </w:pPr>
      <w:r w:rsidRPr="000E673C">
        <w:rPr>
          <w:color w:val="000000"/>
          <w:lang w:val="fr-FR"/>
        </w:rPr>
        <w:t xml:space="preserve">Les </w:t>
      </w:r>
      <w:r w:rsidRPr="000E673C">
        <w:rPr>
          <w:i/>
          <w:color w:val="000000"/>
          <w:lang w:val="fr-FR"/>
        </w:rPr>
        <w:t>articles chaussants</w:t>
      </w:r>
      <w:r w:rsidR="00832E1D" w:rsidRPr="000E673C">
        <w:rPr>
          <w:i/>
          <w:color w:val="000000"/>
          <w:lang w:val="fr-FR"/>
        </w:rPr>
        <w:t xml:space="preserve"> </w:t>
      </w:r>
      <w:r w:rsidR="00832E1D" w:rsidRPr="000E673C">
        <w:rPr>
          <w:iCs/>
          <w:color w:val="000000"/>
          <w:lang w:val="fr-FR"/>
        </w:rPr>
        <w:t>(listés deux fois)</w:t>
      </w:r>
      <w:r w:rsidR="00832E1D" w:rsidRPr="000E673C">
        <w:rPr>
          <w:i/>
          <w:color w:val="000000"/>
          <w:lang w:val="fr-FR"/>
        </w:rPr>
        <w:t xml:space="preserve"> </w:t>
      </w:r>
      <w:r w:rsidRPr="000E673C">
        <w:rPr>
          <w:color w:val="000000"/>
          <w:lang w:val="fr-FR"/>
        </w:rPr>
        <w:t xml:space="preserve">contestés incluent les </w:t>
      </w:r>
      <w:r w:rsidRPr="000E673C">
        <w:rPr>
          <w:i/>
          <w:color w:val="000000"/>
          <w:lang w:val="fr-FR"/>
        </w:rPr>
        <w:t>chaussures</w:t>
      </w:r>
      <w:r w:rsidRPr="000E673C">
        <w:rPr>
          <w:color w:val="000000"/>
          <w:lang w:val="fr-FR"/>
        </w:rPr>
        <w:t xml:space="preserve"> de l'opposante. </w:t>
      </w:r>
      <w:r w:rsidR="00832E1D" w:rsidRPr="000E673C">
        <w:rPr>
          <w:color w:val="000000"/>
          <w:lang w:val="fr-FR"/>
        </w:rPr>
        <w:t xml:space="preserve">Étant donné que la division d’opposition ne peut décomposer </w:t>
      </w:r>
      <w:r w:rsidR="00832E1D" w:rsidRPr="000E673C">
        <w:rPr>
          <w:i/>
          <w:color w:val="000000"/>
          <w:lang w:val="fr-FR"/>
        </w:rPr>
        <w:t xml:space="preserve">ex </w:t>
      </w:r>
      <w:proofErr w:type="spellStart"/>
      <w:r w:rsidR="00832E1D" w:rsidRPr="000E673C">
        <w:rPr>
          <w:i/>
          <w:color w:val="000000"/>
          <w:lang w:val="fr-FR"/>
        </w:rPr>
        <w:t>officio</w:t>
      </w:r>
      <w:proofErr w:type="spellEnd"/>
      <w:r w:rsidR="00832E1D" w:rsidRPr="000E673C">
        <w:rPr>
          <w:color w:val="000000"/>
          <w:lang w:val="fr-FR"/>
        </w:rPr>
        <w:t xml:space="preserve"> la catégorie générale des produits contestés, ceux-ci sont considérés comme </w:t>
      </w:r>
      <w:r w:rsidR="00832E1D" w:rsidRPr="000E673C">
        <w:rPr>
          <w:color w:val="000000"/>
          <w:u w:val="single"/>
          <w:lang w:val="fr-FR"/>
        </w:rPr>
        <w:t>identiques</w:t>
      </w:r>
      <w:r w:rsidR="00832E1D" w:rsidRPr="000E673C">
        <w:rPr>
          <w:color w:val="000000"/>
          <w:lang w:val="fr-FR"/>
        </w:rPr>
        <w:t xml:space="preserve"> aux produits de l’opposante.</w:t>
      </w:r>
    </w:p>
    <w:p w14:paraId="2C249FFD" w14:textId="77777777" w:rsidR="00832E1D" w:rsidRPr="000E673C" w:rsidRDefault="00832E1D" w:rsidP="007F1DD2">
      <w:pPr>
        <w:rPr>
          <w:color w:val="000000"/>
          <w:lang w:val="fr-FR"/>
        </w:rPr>
      </w:pPr>
    </w:p>
    <w:p w14:paraId="48DAEBA8" w14:textId="77777777" w:rsidR="00832E1D" w:rsidRPr="000E673C" w:rsidRDefault="00832E1D" w:rsidP="00832E1D">
      <w:pPr>
        <w:jc w:val="both"/>
        <w:rPr>
          <w:color w:val="000000"/>
          <w:lang w:val="fr-FR"/>
        </w:rPr>
      </w:pPr>
      <w:r w:rsidRPr="000E673C">
        <w:rPr>
          <w:color w:val="000000"/>
          <w:lang w:val="fr-FR"/>
        </w:rPr>
        <w:t>Il existe, à tout le moins, un chevauchement entre l</w:t>
      </w:r>
      <w:r w:rsidR="00B93A94" w:rsidRPr="000E673C">
        <w:rPr>
          <w:color w:val="000000"/>
          <w:lang w:val="fr-FR"/>
        </w:rPr>
        <w:t xml:space="preserve">es </w:t>
      </w:r>
      <w:r w:rsidR="00B93A94" w:rsidRPr="000E673C">
        <w:rPr>
          <w:i/>
          <w:color w:val="000000"/>
          <w:lang w:val="fr-FR"/>
        </w:rPr>
        <w:t>parties de vêtements</w:t>
      </w:r>
      <w:r w:rsidR="00B93A94" w:rsidRPr="000E673C">
        <w:rPr>
          <w:color w:val="000000"/>
          <w:lang w:val="fr-FR"/>
        </w:rPr>
        <w:t xml:space="preserve"> contesté</w:t>
      </w:r>
      <w:r w:rsidRPr="000E673C">
        <w:rPr>
          <w:color w:val="000000"/>
          <w:lang w:val="fr-FR"/>
        </w:rPr>
        <w:t>e</w:t>
      </w:r>
      <w:r w:rsidR="00B93A94" w:rsidRPr="000E673C">
        <w:rPr>
          <w:color w:val="000000"/>
          <w:lang w:val="fr-FR"/>
        </w:rPr>
        <w:t xml:space="preserve">s </w:t>
      </w:r>
      <w:r w:rsidRPr="000E673C">
        <w:rPr>
          <w:color w:val="000000"/>
          <w:lang w:val="fr-FR"/>
        </w:rPr>
        <w:t xml:space="preserve">et les </w:t>
      </w:r>
      <w:r w:rsidRPr="000E673C">
        <w:rPr>
          <w:i/>
          <w:color w:val="000000"/>
          <w:lang w:val="fr-FR"/>
        </w:rPr>
        <w:t>accessoires de mode intelligents</w:t>
      </w:r>
      <w:r w:rsidRPr="000E673C">
        <w:rPr>
          <w:color w:val="000000"/>
          <w:lang w:val="fr-FR"/>
        </w:rPr>
        <w:t xml:space="preserve"> qui peuvent comprendre des parties de vêtements intelligentes comme des cols amovibles ou des manchettes qui sont des accessoires de mode. Par conséquent, la division d’opposition considère ces produits comme étant </w:t>
      </w:r>
      <w:r w:rsidRPr="000E673C">
        <w:rPr>
          <w:color w:val="000000"/>
          <w:u w:val="single"/>
          <w:lang w:val="fr-FR"/>
        </w:rPr>
        <w:t>identiques</w:t>
      </w:r>
      <w:r w:rsidRPr="000E673C">
        <w:rPr>
          <w:color w:val="000000"/>
          <w:lang w:val="fr-FR"/>
        </w:rPr>
        <w:t xml:space="preserve">. </w:t>
      </w:r>
    </w:p>
    <w:p w14:paraId="5F15D3DD" w14:textId="77777777" w:rsidR="00B93A94" w:rsidRPr="000E673C" w:rsidRDefault="00B93A94" w:rsidP="007F1DD2">
      <w:pPr>
        <w:rPr>
          <w:color w:val="000000"/>
          <w:lang w:val="fr-FR"/>
        </w:rPr>
      </w:pPr>
    </w:p>
    <w:p w14:paraId="0B54688A" w14:textId="39006455" w:rsidR="00DD3584" w:rsidRPr="000E673C" w:rsidRDefault="00832E1D" w:rsidP="007F1DD2">
      <w:pPr>
        <w:rPr>
          <w:lang w:val="fr-FR"/>
        </w:rPr>
      </w:pPr>
      <w:r w:rsidRPr="000E673C">
        <w:rPr>
          <w:b/>
          <w:color w:val="000000"/>
          <w:lang w:val="fr-FR"/>
        </w:rPr>
        <w:t>Services contestés dans la classe</w:t>
      </w:r>
      <w:r w:rsidR="00B93A94" w:rsidRPr="000E673C">
        <w:rPr>
          <w:b/>
          <w:color w:val="000000"/>
          <w:lang w:val="fr-FR"/>
        </w:rPr>
        <w:t xml:space="preserve"> 35</w:t>
      </w:r>
    </w:p>
    <w:p w14:paraId="0F43D99F" w14:textId="77777777" w:rsidR="00B93A94" w:rsidRPr="000E673C" w:rsidRDefault="00B93A94" w:rsidP="007F1DD2">
      <w:pPr>
        <w:rPr>
          <w:color w:val="000000"/>
          <w:lang w:val="fr-FR"/>
        </w:rPr>
      </w:pPr>
    </w:p>
    <w:p w14:paraId="0B54688C" w14:textId="54E5CF05" w:rsidR="00DD3584" w:rsidRPr="000E673C" w:rsidRDefault="00B93A94" w:rsidP="007F1DD2">
      <w:pPr>
        <w:rPr>
          <w:lang w:val="fr-FR"/>
        </w:rPr>
      </w:pPr>
      <w:r w:rsidRPr="000E673C">
        <w:rPr>
          <w:color w:val="000000"/>
          <w:lang w:val="fr-FR"/>
        </w:rPr>
        <w:t xml:space="preserve">Les </w:t>
      </w:r>
      <w:r w:rsidRPr="000E673C">
        <w:rPr>
          <w:i/>
          <w:color w:val="000000"/>
          <w:lang w:val="fr-FR"/>
        </w:rPr>
        <w:t>services de publicité, de marketing et de promotion</w:t>
      </w:r>
      <w:r w:rsidRPr="000E673C">
        <w:rPr>
          <w:color w:val="000000"/>
          <w:lang w:val="fr-FR"/>
        </w:rPr>
        <w:t xml:space="preserve"> contestés</w:t>
      </w:r>
      <w:r w:rsidR="00832E1D" w:rsidRPr="000E673C">
        <w:rPr>
          <w:color w:val="000000"/>
          <w:lang w:val="fr-FR"/>
        </w:rPr>
        <w:t xml:space="preserve"> </w:t>
      </w:r>
      <w:r w:rsidRPr="000E673C">
        <w:rPr>
          <w:color w:val="000000"/>
          <w:lang w:val="fr-FR"/>
        </w:rPr>
        <w:t xml:space="preserve">incluent les services de </w:t>
      </w:r>
      <w:r w:rsidRPr="000E673C">
        <w:rPr>
          <w:i/>
          <w:iCs/>
          <w:color w:val="000000"/>
          <w:lang w:val="fr-FR"/>
        </w:rPr>
        <w:t xml:space="preserve">publicité </w:t>
      </w:r>
      <w:r w:rsidRPr="000E673C">
        <w:rPr>
          <w:color w:val="000000"/>
          <w:lang w:val="fr-FR"/>
        </w:rPr>
        <w:t xml:space="preserve">de l’opposante. Dès lors, ces services sont </w:t>
      </w:r>
      <w:r w:rsidRPr="000E673C">
        <w:rPr>
          <w:color w:val="000000"/>
          <w:u w:val="single"/>
          <w:lang w:val="fr-FR"/>
        </w:rPr>
        <w:t>identiques</w:t>
      </w:r>
      <w:r w:rsidRPr="000E673C">
        <w:rPr>
          <w:color w:val="000000"/>
          <w:lang w:val="fr-FR"/>
        </w:rPr>
        <w:t xml:space="preserve">. </w:t>
      </w:r>
    </w:p>
    <w:p w14:paraId="4BECC246" w14:textId="77777777" w:rsidR="00B93A94" w:rsidRPr="000E673C" w:rsidRDefault="00B93A94" w:rsidP="007F1DD2">
      <w:pPr>
        <w:rPr>
          <w:color w:val="000000"/>
          <w:lang w:val="fr-FR"/>
        </w:rPr>
      </w:pPr>
    </w:p>
    <w:p w14:paraId="0869E4F2" w14:textId="1DC7433D" w:rsidR="00B93A94" w:rsidRPr="000E673C" w:rsidRDefault="00B93A94" w:rsidP="00B93A94">
      <w:pPr>
        <w:rPr>
          <w:lang w:val="fr-FR"/>
        </w:rPr>
      </w:pPr>
      <w:r w:rsidRPr="000E673C">
        <w:rPr>
          <w:b/>
          <w:color w:val="000000"/>
          <w:lang w:val="fr-FR"/>
        </w:rPr>
        <w:t>Services contestés dans la classe 42</w:t>
      </w:r>
    </w:p>
    <w:p w14:paraId="01B786B2" w14:textId="77777777" w:rsidR="00B93A94" w:rsidRPr="000E673C" w:rsidRDefault="00B93A94" w:rsidP="007F1DD2">
      <w:pPr>
        <w:rPr>
          <w:color w:val="000000"/>
          <w:lang w:val="fr-FR"/>
        </w:rPr>
      </w:pPr>
    </w:p>
    <w:p w14:paraId="34CE9C5F" w14:textId="53350B21" w:rsidR="00B93A94" w:rsidRPr="000E673C" w:rsidRDefault="00B93A94" w:rsidP="00B93A94">
      <w:pPr>
        <w:jc w:val="both"/>
        <w:rPr>
          <w:b/>
          <w:i/>
          <w:color w:val="800080"/>
          <w:lang w:val="fr-FR"/>
        </w:rPr>
      </w:pPr>
      <w:r w:rsidRPr="000E673C">
        <w:rPr>
          <w:color w:val="000000"/>
          <w:lang w:val="fr-FR"/>
        </w:rPr>
        <w:t xml:space="preserve">Les </w:t>
      </w:r>
      <w:r w:rsidRPr="000E673C">
        <w:rPr>
          <w:i/>
          <w:color w:val="000000"/>
          <w:lang w:val="fr-FR"/>
        </w:rPr>
        <w:t>services de conception</w:t>
      </w:r>
      <w:r w:rsidRPr="000E673C">
        <w:rPr>
          <w:color w:val="000000"/>
          <w:lang w:val="fr-FR"/>
        </w:rPr>
        <w:t xml:space="preserve"> contestés incluent en tant que catégorie plus large </w:t>
      </w:r>
      <w:proofErr w:type="gramStart"/>
      <w:r w:rsidRPr="000E673C">
        <w:rPr>
          <w:color w:val="000000"/>
          <w:lang w:val="fr-FR"/>
        </w:rPr>
        <w:t xml:space="preserve">les </w:t>
      </w:r>
      <w:r w:rsidRPr="000E673C">
        <w:rPr>
          <w:i/>
          <w:color w:val="000000"/>
          <w:lang w:val="fr-FR"/>
        </w:rPr>
        <w:t>service</w:t>
      </w:r>
      <w:proofErr w:type="gramEnd"/>
      <w:r w:rsidRPr="000E673C">
        <w:rPr>
          <w:i/>
          <w:color w:val="000000"/>
          <w:lang w:val="fr-FR"/>
        </w:rPr>
        <w:t xml:space="preserve"> de conception de logiciels </w:t>
      </w:r>
      <w:r w:rsidRPr="000E673C">
        <w:rPr>
          <w:iCs/>
          <w:color w:val="000000"/>
          <w:lang w:val="fr-FR"/>
        </w:rPr>
        <w:t xml:space="preserve">de l’opposante. </w:t>
      </w:r>
      <w:bookmarkStart w:id="13" w:name="chk-paragraph-9-3-1-4-1_nodeId--52058309"/>
      <w:bookmarkEnd w:id="12"/>
      <w:r w:rsidRPr="000E673C">
        <w:rPr>
          <w:color w:val="000000"/>
          <w:lang w:val="fr-FR"/>
        </w:rPr>
        <w:t xml:space="preserve">Étant donné que la division d’opposition ne peut décomposer </w:t>
      </w:r>
      <w:r w:rsidRPr="000E673C">
        <w:rPr>
          <w:i/>
          <w:color w:val="000000"/>
          <w:lang w:val="fr-FR"/>
        </w:rPr>
        <w:t xml:space="preserve">ex </w:t>
      </w:r>
      <w:proofErr w:type="spellStart"/>
      <w:r w:rsidRPr="000E673C">
        <w:rPr>
          <w:i/>
          <w:color w:val="000000"/>
          <w:lang w:val="fr-FR"/>
        </w:rPr>
        <w:t>officio</w:t>
      </w:r>
      <w:proofErr w:type="spellEnd"/>
      <w:r w:rsidRPr="000E673C">
        <w:rPr>
          <w:color w:val="000000"/>
          <w:lang w:val="fr-FR"/>
        </w:rPr>
        <w:t xml:space="preserve"> la catégorie générale des services contestés, ceux-ci sont considérés comme </w:t>
      </w:r>
      <w:r w:rsidRPr="000E673C">
        <w:rPr>
          <w:color w:val="000000"/>
          <w:u w:val="single"/>
          <w:lang w:val="fr-FR"/>
        </w:rPr>
        <w:t>identiques</w:t>
      </w:r>
      <w:r w:rsidRPr="000E673C">
        <w:rPr>
          <w:color w:val="000000"/>
          <w:lang w:val="fr-FR"/>
        </w:rPr>
        <w:t xml:space="preserve"> aux services de l’opposante.</w:t>
      </w:r>
      <w:r w:rsidRPr="000E673C">
        <w:rPr>
          <w:b/>
          <w:i/>
          <w:color w:val="800080"/>
          <w:lang w:val="fr-FR"/>
        </w:rPr>
        <w:t xml:space="preserve"> </w:t>
      </w:r>
    </w:p>
    <w:p w14:paraId="5D79FE47" w14:textId="77777777" w:rsidR="00B93A94" w:rsidRPr="000E673C" w:rsidRDefault="00B93A94" w:rsidP="00B93A94">
      <w:pPr>
        <w:rPr>
          <w:b/>
          <w:i/>
          <w:color w:val="800080"/>
          <w:lang w:val="fr-FR"/>
        </w:rPr>
      </w:pPr>
    </w:p>
    <w:p w14:paraId="0B5468A3" w14:textId="14ADFB8F" w:rsidR="00DD3584" w:rsidRPr="000E673C" w:rsidRDefault="00B93A94" w:rsidP="00B93A94">
      <w:pPr>
        <w:rPr>
          <w:lang w:val="fr-FR"/>
        </w:rPr>
      </w:pPr>
      <w:r w:rsidRPr="000E673C">
        <w:rPr>
          <w:color w:val="000000"/>
          <w:lang w:val="fr-FR"/>
        </w:rPr>
        <w:t> </w:t>
      </w:r>
    </w:p>
    <w:p w14:paraId="0B5468A4" w14:textId="77777777" w:rsidR="00DD3584" w:rsidRPr="000E673C" w:rsidRDefault="00B93A94" w:rsidP="007F1DD2">
      <w:pPr>
        <w:jc w:val="both"/>
        <w:rPr>
          <w:lang w:val="fr-FR"/>
        </w:rPr>
      </w:pPr>
      <w:bookmarkStart w:id="14" w:name="chk-paragraph-9-3-2_nodeId-870269841"/>
      <w:bookmarkEnd w:id="13"/>
      <w:r w:rsidRPr="000E673C">
        <w:rPr>
          <w:b/>
          <w:color w:val="000000"/>
          <w:lang w:val="fr-FR"/>
        </w:rPr>
        <w:t>b) Public pertinent – niveau d’attention</w:t>
      </w:r>
    </w:p>
    <w:p w14:paraId="0B5468A5" w14:textId="7E68B3B4" w:rsidR="00DD3584" w:rsidRPr="000E673C" w:rsidRDefault="00B93A94" w:rsidP="007F1DD2">
      <w:pPr>
        <w:jc w:val="both"/>
        <w:rPr>
          <w:lang w:val="fr-FR"/>
        </w:rPr>
      </w:pPr>
      <w:r w:rsidRPr="000E673C">
        <w:rPr>
          <w:color w:val="000000"/>
          <w:lang w:val="fr-FR"/>
        </w:rPr>
        <w:t> </w:t>
      </w:r>
    </w:p>
    <w:p w14:paraId="0B5468A8" w14:textId="77777777" w:rsidR="00DD3584" w:rsidRPr="000E673C" w:rsidRDefault="00B93A94" w:rsidP="007F1DD2">
      <w:pPr>
        <w:jc w:val="both"/>
        <w:rPr>
          <w:lang w:val="fr-FR"/>
        </w:rPr>
      </w:pPr>
      <w:r w:rsidRPr="000E673C">
        <w:rPr>
          <w:color w:val="000000"/>
          <w:lang w:val="fr-FR"/>
        </w:rPr>
        <w:t xml:space="preserve">Le consommateur moyen de la catégorie de produits concernée est censé être normalement informé et raisonnablement attentif et avisé. Il y a lieu également de prendre en considération le fait que le niveau d’attention du consommateur moyen est susceptible de varier en fonction de la catégorie de produits ou services en cause (22/06/1999, C-342/97, Lloyd </w:t>
      </w:r>
      <w:proofErr w:type="spellStart"/>
      <w:r w:rsidRPr="000E673C">
        <w:rPr>
          <w:color w:val="000000"/>
          <w:lang w:val="fr-FR"/>
        </w:rPr>
        <w:t>Schuhfabrik</w:t>
      </w:r>
      <w:proofErr w:type="spellEnd"/>
      <w:r w:rsidRPr="000E673C">
        <w:rPr>
          <w:color w:val="000000"/>
          <w:lang w:val="fr-FR"/>
        </w:rPr>
        <w:t xml:space="preserve">, </w:t>
      </w:r>
      <w:proofErr w:type="gramStart"/>
      <w:r w:rsidRPr="000E673C">
        <w:rPr>
          <w:color w:val="000000"/>
          <w:lang w:val="fr-FR"/>
        </w:rPr>
        <w:t>EU:C:1999:</w:t>
      </w:r>
      <w:proofErr w:type="gramEnd"/>
      <w:r w:rsidRPr="000E673C">
        <w:rPr>
          <w:color w:val="000000"/>
          <w:lang w:val="fr-FR"/>
        </w:rPr>
        <w:t>323, § 26).</w:t>
      </w:r>
    </w:p>
    <w:p w14:paraId="0B5468A9" w14:textId="7DCFFD6F" w:rsidR="00DD3584" w:rsidRPr="000E673C" w:rsidRDefault="00B93A94" w:rsidP="007F1DD2">
      <w:pPr>
        <w:jc w:val="both"/>
        <w:rPr>
          <w:lang w:val="fr-FR"/>
        </w:rPr>
      </w:pPr>
      <w:r w:rsidRPr="000E673C">
        <w:rPr>
          <w:color w:val="000000"/>
          <w:lang w:val="fr-FR"/>
        </w:rPr>
        <w:t> </w:t>
      </w:r>
    </w:p>
    <w:p w14:paraId="088DC977" w14:textId="489E45A0" w:rsidR="009D1E11" w:rsidRPr="000E673C" w:rsidRDefault="00B93A94" w:rsidP="007F1DD2">
      <w:pPr>
        <w:jc w:val="both"/>
        <w:rPr>
          <w:color w:val="000000"/>
          <w:lang w:val="fr-FR"/>
        </w:rPr>
      </w:pPr>
      <w:r w:rsidRPr="000E673C">
        <w:rPr>
          <w:color w:val="000000"/>
          <w:lang w:val="fr-FR"/>
        </w:rPr>
        <w:lastRenderedPageBreak/>
        <w:t>En l’espèce, les</w:t>
      </w:r>
      <w:r w:rsidR="009D1E11" w:rsidRPr="000E673C">
        <w:rPr>
          <w:color w:val="000000"/>
          <w:lang w:val="fr-FR"/>
        </w:rPr>
        <w:t xml:space="preserve"> </w:t>
      </w:r>
      <w:r w:rsidRPr="000E673C">
        <w:rPr>
          <w:color w:val="000000"/>
          <w:lang w:val="fr-FR"/>
        </w:rPr>
        <w:t>produits jugés</w:t>
      </w:r>
      <w:r w:rsidR="009D1E11" w:rsidRPr="000E673C">
        <w:rPr>
          <w:color w:val="000000"/>
          <w:lang w:val="fr-FR"/>
        </w:rPr>
        <w:t xml:space="preserve"> </w:t>
      </w:r>
      <w:r w:rsidRPr="000E673C">
        <w:rPr>
          <w:color w:val="000000"/>
          <w:lang w:val="fr-FR"/>
        </w:rPr>
        <w:t>identiques</w:t>
      </w:r>
      <w:r w:rsidR="009D1E11" w:rsidRPr="000E673C">
        <w:rPr>
          <w:color w:val="000000"/>
          <w:lang w:val="fr-FR"/>
        </w:rPr>
        <w:t xml:space="preserve"> </w:t>
      </w:r>
      <w:r w:rsidR="00022C11" w:rsidRPr="000E673C">
        <w:rPr>
          <w:color w:val="000000"/>
          <w:lang w:val="fr-FR"/>
        </w:rPr>
        <w:t xml:space="preserve">ou à tout le moins similaires </w:t>
      </w:r>
      <w:r w:rsidRPr="000E673C">
        <w:rPr>
          <w:color w:val="000000"/>
          <w:lang w:val="fr-FR"/>
        </w:rPr>
        <w:t>s’adressent</w:t>
      </w:r>
      <w:r w:rsidR="009D1E11" w:rsidRPr="000E673C">
        <w:rPr>
          <w:color w:val="000000"/>
          <w:lang w:val="fr-FR"/>
        </w:rPr>
        <w:t xml:space="preserve"> principalement</w:t>
      </w:r>
      <w:r w:rsidR="000E673C" w:rsidRPr="000E673C">
        <w:rPr>
          <w:color w:val="000000"/>
          <w:lang w:val="fr-FR"/>
        </w:rPr>
        <w:t xml:space="preserve"> </w:t>
      </w:r>
      <w:r w:rsidRPr="000E673C">
        <w:rPr>
          <w:color w:val="000000"/>
          <w:lang w:val="fr-FR"/>
        </w:rPr>
        <w:t>au grand public</w:t>
      </w:r>
      <w:r w:rsidR="009D1E11" w:rsidRPr="000E673C">
        <w:rPr>
          <w:color w:val="000000"/>
          <w:lang w:val="fr-FR"/>
        </w:rPr>
        <w:t xml:space="preserve"> mais pour certains aussi aux professionnels notamment une partie des produits en classe 14 comme les </w:t>
      </w:r>
      <w:r w:rsidR="009D1E11" w:rsidRPr="000E673C">
        <w:rPr>
          <w:i/>
          <w:iCs/>
          <w:color w:val="000000"/>
          <w:lang w:val="fr-FR"/>
        </w:rPr>
        <w:t>pierres précieuses</w:t>
      </w:r>
      <w:r w:rsidRPr="000E673C">
        <w:rPr>
          <w:color w:val="000000"/>
          <w:lang w:val="fr-FR"/>
        </w:rPr>
        <w:t>.</w:t>
      </w:r>
      <w:r w:rsidR="009D1E11" w:rsidRPr="000E673C">
        <w:rPr>
          <w:color w:val="000000"/>
          <w:lang w:val="fr-FR"/>
        </w:rPr>
        <w:t xml:space="preserve"> Les services jugés identiques eux, s’adressent exclusivement aux professionnels. </w:t>
      </w:r>
    </w:p>
    <w:p w14:paraId="0B5468B1" w14:textId="65F03550" w:rsidR="00DD3584" w:rsidRPr="000E673C" w:rsidRDefault="00DD3584" w:rsidP="007F1DD2">
      <w:pPr>
        <w:jc w:val="both"/>
        <w:rPr>
          <w:lang w:val="fr-FR"/>
        </w:rPr>
      </w:pPr>
    </w:p>
    <w:p w14:paraId="0B5468B4" w14:textId="77C487CD" w:rsidR="00DD3584" w:rsidRPr="000E673C" w:rsidRDefault="009D1E11" w:rsidP="007F1DD2">
      <w:pPr>
        <w:jc w:val="both"/>
        <w:rPr>
          <w:lang w:val="fr-FR"/>
        </w:rPr>
      </w:pPr>
      <w:bookmarkStart w:id="15" w:name="chk-paragraph-9-3-2-1_nodeId-742969198"/>
      <w:bookmarkEnd w:id="14"/>
      <w:r w:rsidRPr="000E673C">
        <w:rPr>
          <w:color w:val="000000"/>
          <w:lang w:val="fr-FR"/>
        </w:rPr>
        <w:t>Dès lors, le d</w:t>
      </w:r>
      <w:r w:rsidR="00B93A94" w:rsidRPr="000E673C">
        <w:rPr>
          <w:color w:val="000000"/>
          <w:lang w:val="fr-FR"/>
        </w:rPr>
        <w:t>egré d’attention du public peut varier de moyen à élevé, en fonction du prix, de la</w:t>
      </w:r>
      <w:r w:rsidR="000E673C" w:rsidRPr="000E673C">
        <w:rPr>
          <w:color w:val="000000"/>
          <w:lang w:val="fr-FR"/>
        </w:rPr>
        <w:t xml:space="preserve"> </w:t>
      </w:r>
      <w:r w:rsidR="00B93A94" w:rsidRPr="000E673C">
        <w:rPr>
          <w:color w:val="000000"/>
          <w:lang w:val="fr-FR"/>
        </w:rPr>
        <w:t>sophistication</w:t>
      </w:r>
      <w:r w:rsidR="000E673C" w:rsidRPr="000E673C">
        <w:rPr>
          <w:color w:val="000000"/>
          <w:lang w:val="fr-FR"/>
        </w:rPr>
        <w:t xml:space="preserve"> </w:t>
      </w:r>
      <w:r w:rsidR="00B93A94" w:rsidRPr="000E673C">
        <w:rPr>
          <w:color w:val="000000"/>
          <w:lang w:val="fr-FR"/>
        </w:rPr>
        <w:t>ou des conditions générales des produits et services achetés.</w:t>
      </w:r>
      <w:r w:rsidRPr="000E673C">
        <w:rPr>
          <w:color w:val="000000"/>
          <w:lang w:val="fr-FR"/>
        </w:rPr>
        <w:t xml:space="preserve"> En effet, à titre d’exemple, </w:t>
      </w:r>
      <w:bookmarkStart w:id="16" w:name="chk-paragraph-9-3-2-3_nodeId--2076511279"/>
      <w:bookmarkEnd w:id="15"/>
      <w:r w:rsidRPr="000E673C">
        <w:rPr>
          <w:color w:val="000000"/>
          <w:lang w:val="fr-FR"/>
        </w:rPr>
        <w:t>d</w:t>
      </w:r>
      <w:r w:rsidR="00B93A94" w:rsidRPr="000E673C">
        <w:rPr>
          <w:color w:val="000000"/>
          <w:lang w:val="fr-FR"/>
        </w:rPr>
        <w:t>ans sa décision du 09/12/2010, R 900/2010-1, Leo Marco (fig.) / LEO, § 22, la chambre de recours a conclu que, généralement, les consommateurs réfléchissent beaucoup lors du choix de</w:t>
      </w:r>
      <w:r w:rsidRPr="000E673C">
        <w:rPr>
          <w:color w:val="000000"/>
          <w:lang w:val="fr-FR"/>
        </w:rPr>
        <w:t xml:space="preserve"> certains des</w:t>
      </w:r>
      <w:r w:rsidR="00B93A94" w:rsidRPr="000E673C">
        <w:rPr>
          <w:color w:val="000000"/>
          <w:lang w:val="fr-FR"/>
        </w:rPr>
        <w:t xml:space="preserve"> produits</w:t>
      </w:r>
      <w:r w:rsidRPr="000E673C">
        <w:rPr>
          <w:color w:val="000000"/>
          <w:lang w:val="fr-FR"/>
        </w:rPr>
        <w:t xml:space="preserve"> de la classe 14</w:t>
      </w:r>
      <w:r w:rsidR="00B93A94" w:rsidRPr="000E673C">
        <w:rPr>
          <w:color w:val="000000"/>
          <w:lang w:val="fr-FR"/>
        </w:rPr>
        <w:t>. Dans de nombreux cas, les produits seront des articles de luxe ou des produits qui serviront de cadeaux. On peut supposer un degré relativement élevé d’attention de la part du consommateur.</w:t>
      </w:r>
    </w:p>
    <w:p w14:paraId="0B5468B5" w14:textId="77777777" w:rsidR="00DD3584" w:rsidRPr="000E673C" w:rsidRDefault="00DD3584" w:rsidP="007F1DD2">
      <w:pPr>
        <w:jc w:val="both"/>
        <w:rPr>
          <w:lang w:val="fr-FR"/>
        </w:rPr>
      </w:pPr>
    </w:p>
    <w:p w14:paraId="532BA612" w14:textId="77777777" w:rsidR="00BD6423" w:rsidRPr="000E673C" w:rsidRDefault="00BD6423" w:rsidP="007F1DD2">
      <w:pPr>
        <w:jc w:val="both"/>
        <w:rPr>
          <w:lang w:val="fr-FR"/>
        </w:rPr>
      </w:pPr>
    </w:p>
    <w:p w14:paraId="0B5468B6" w14:textId="51433651" w:rsidR="00DD3584" w:rsidRPr="000E673C" w:rsidRDefault="00B93A94" w:rsidP="007F1DD2">
      <w:pPr>
        <w:jc w:val="both"/>
        <w:rPr>
          <w:lang w:val="fr-FR"/>
        </w:rPr>
      </w:pPr>
      <w:bookmarkStart w:id="17" w:name="chk-paragraph-9-3-3_nodeId--1465072020"/>
      <w:bookmarkEnd w:id="16"/>
      <w:r w:rsidRPr="000E673C">
        <w:rPr>
          <w:b/>
          <w:color w:val="000000"/>
          <w:lang w:val="fr-FR"/>
        </w:rPr>
        <w:t>c) L</w:t>
      </w:r>
      <w:r w:rsidR="00194F3B" w:rsidRPr="000E673C">
        <w:rPr>
          <w:b/>
          <w:color w:val="000000"/>
          <w:lang w:val="fr-FR"/>
        </w:rPr>
        <w:t>e caractère distinctif de la marque antérieure et l</w:t>
      </w:r>
      <w:r w:rsidRPr="000E673C">
        <w:rPr>
          <w:b/>
          <w:color w:val="000000"/>
          <w:lang w:val="fr-FR"/>
        </w:rPr>
        <w:t>es signes</w:t>
      </w:r>
    </w:p>
    <w:p w14:paraId="0B5468B7" w14:textId="5EB878BF" w:rsidR="00DD3584" w:rsidRPr="000E673C" w:rsidRDefault="00B93A94" w:rsidP="007F1DD2">
      <w:pPr>
        <w:jc w:val="both"/>
        <w:rPr>
          <w:lang w:val="fr-FR"/>
        </w:rPr>
      </w:pPr>
      <w:r w:rsidRPr="000E673C">
        <w:rPr>
          <w:color w:val="000000"/>
          <w:lang w:val="fr-FR"/>
        </w:rPr>
        <w:t> </w:t>
      </w:r>
    </w:p>
    <w:tbl>
      <w:tblPr>
        <w:tblW w:w="0" w:type="auto"/>
        <w:tblCellSpacing w:w="20" w:type="dxa"/>
        <w:tblInd w:w="154" w:type="dxa"/>
        <w:tblLook w:val="04A0" w:firstRow="1" w:lastRow="0" w:firstColumn="1" w:lastColumn="0" w:noHBand="0" w:noVBand="1"/>
      </w:tblPr>
      <w:tblGrid>
        <w:gridCol w:w="4885"/>
        <w:gridCol w:w="3988"/>
      </w:tblGrid>
      <w:tr w:rsidR="00DD3584" w:rsidRPr="000E673C" w14:paraId="0B5468C0" w14:textId="77777777">
        <w:trPr>
          <w:trHeight w:val="30"/>
          <w:tblCellSpacing w:w="20" w:type="dxa"/>
        </w:trPr>
        <w:tc>
          <w:tcPr>
            <w:tcW w:w="6801" w:type="dxa"/>
            <w:tcBorders>
              <w:right w:val="dotted" w:sz="8" w:space="0" w:color="000000"/>
            </w:tcBorders>
            <w:tcMar>
              <w:top w:w="15" w:type="dxa"/>
              <w:left w:w="15" w:type="dxa"/>
              <w:bottom w:w="15" w:type="dxa"/>
              <w:right w:w="15" w:type="dxa"/>
            </w:tcMar>
            <w:vAlign w:val="center"/>
          </w:tcPr>
          <w:p w14:paraId="0B5468B8" w14:textId="77777777" w:rsidR="00DD3584" w:rsidRPr="000E673C" w:rsidRDefault="00B93A94" w:rsidP="007F1DD2">
            <w:pPr>
              <w:ind w:left="130"/>
              <w:jc w:val="center"/>
              <w:rPr>
                <w:lang w:val="fr-FR"/>
              </w:rPr>
            </w:pPr>
            <w:r w:rsidRPr="000E673C">
              <w:rPr>
                <w:lang w:val="fr-FR"/>
              </w:rPr>
              <w:br/>
            </w:r>
          </w:p>
          <w:p w14:paraId="0B5468BD" w14:textId="77777777" w:rsidR="00DD3584" w:rsidRPr="000E673C" w:rsidRDefault="00B93A94" w:rsidP="007F1DD2">
            <w:pPr>
              <w:ind w:left="130"/>
              <w:jc w:val="center"/>
            </w:pPr>
            <w:r w:rsidRPr="000E673C">
              <w:rPr>
                <w:color w:val="000000"/>
              </w:rPr>
              <w:t>HERMÈS</w:t>
            </w:r>
          </w:p>
          <w:p w14:paraId="0B5468BE" w14:textId="77777777" w:rsidR="00DD3584" w:rsidRPr="000E673C" w:rsidRDefault="00B93A94" w:rsidP="007F1DD2">
            <w:pPr>
              <w:ind w:left="130"/>
              <w:jc w:val="center"/>
            </w:pPr>
            <w:r w:rsidRPr="000E673C">
              <w:br/>
            </w:r>
          </w:p>
        </w:tc>
        <w:tc>
          <w:tcPr>
            <w:tcW w:w="5449" w:type="dxa"/>
            <w:tcMar>
              <w:top w:w="15" w:type="dxa"/>
              <w:left w:w="15" w:type="dxa"/>
              <w:bottom w:w="15" w:type="dxa"/>
              <w:right w:w="15" w:type="dxa"/>
            </w:tcMar>
            <w:vAlign w:val="center"/>
          </w:tcPr>
          <w:p w14:paraId="0B5468BF" w14:textId="77777777" w:rsidR="00DD3584" w:rsidRPr="003A4319" w:rsidRDefault="00B93A94" w:rsidP="007F1DD2">
            <w:pPr>
              <w:ind w:left="130"/>
              <w:jc w:val="center"/>
              <w:rPr>
                <w14:shadow w14:blurRad="50800" w14:dist="38100" w14:dir="2700000" w14:sx="100000" w14:sy="100000" w14:kx="0" w14:ky="0" w14:algn="tl">
                  <w14:srgbClr w14:val="000000">
                    <w14:alpha w14:val="60000"/>
                  </w14:srgbClr>
                </w14:shadow>
              </w:rPr>
            </w:pPr>
            <w:r w:rsidRPr="000E673C">
              <w:rPr>
                <w:color w:val="000000"/>
              </w:rPr>
              <w:t>HERMÉS CLUB</w:t>
            </w:r>
          </w:p>
        </w:tc>
      </w:tr>
      <w:tr w:rsidR="00DD3584" w:rsidRPr="000E673C" w14:paraId="0B5468C5" w14:textId="77777777">
        <w:trPr>
          <w:trHeight w:val="45"/>
          <w:tblCellSpacing w:w="20" w:type="dxa"/>
        </w:trPr>
        <w:tc>
          <w:tcPr>
            <w:tcW w:w="6801" w:type="dxa"/>
            <w:tcBorders>
              <w:top w:val="dotted" w:sz="8" w:space="0" w:color="000000"/>
              <w:right w:val="dotted" w:sz="8" w:space="0" w:color="000000"/>
            </w:tcBorders>
            <w:tcMar>
              <w:top w:w="15" w:type="dxa"/>
              <w:left w:w="15" w:type="dxa"/>
              <w:bottom w:w="15" w:type="dxa"/>
              <w:right w:w="15" w:type="dxa"/>
            </w:tcMar>
            <w:vAlign w:val="center"/>
          </w:tcPr>
          <w:p w14:paraId="0B5468C1" w14:textId="392E885F" w:rsidR="00DD3584" w:rsidRPr="000E673C" w:rsidRDefault="00B93A94" w:rsidP="007F1DD2">
            <w:pPr>
              <w:ind w:left="130"/>
              <w:jc w:val="both"/>
            </w:pPr>
            <w:r w:rsidRPr="000E673C">
              <w:rPr>
                <w:color w:val="000000"/>
              </w:rPr>
              <w:t> </w:t>
            </w:r>
          </w:p>
          <w:p w14:paraId="0B5468C2" w14:textId="77777777" w:rsidR="00DD3584" w:rsidRPr="000E673C" w:rsidRDefault="00B93A94" w:rsidP="007F1DD2">
            <w:pPr>
              <w:ind w:left="130"/>
              <w:jc w:val="center"/>
            </w:pPr>
            <w:r w:rsidRPr="000E673C">
              <w:rPr>
                <w:color w:val="000000"/>
              </w:rPr>
              <w:t xml:space="preserve">Marque </w:t>
            </w:r>
            <w:proofErr w:type="spellStart"/>
            <w:r w:rsidRPr="000E673C">
              <w:rPr>
                <w:color w:val="000000"/>
              </w:rPr>
              <w:t>antérieure</w:t>
            </w:r>
            <w:proofErr w:type="spellEnd"/>
          </w:p>
        </w:tc>
        <w:tc>
          <w:tcPr>
            <w:tcW w:w="5449" w:type="dxa"/>
            <w:tcBorders>
              <w:top w:val="dotted" w:sz="8" w:space="0" w:color="000000"/>
            </w:tcBorders>
            <w:tcMar>
              <w:top w:w="15" w:type="dxa"/>
              <w:left w:w="15" w:type="dxa"/>
              <w:bottom w:w="15" w:type="dxa"/>
              <w:right w:w="15" w:type="dxa"/>
            </w:tcMar>
            <w:vAlign w:val="center"/>
          </w:tcPr>
          <w:p w14:paraId="0B5468C3" w14:textId="305FBD4B" w:rsidR="00DD3584" w:rsidRPr="000E673C" w:rsidRDefault="00B93A94" w:rsidP="007F1DD2">
            <w:pPr>
              <w:ind w:left="130"/>
              <w:jc w:val="both"/>
            </w:pPr>
            <w:r w:rsidRPr="000E673C">
              <w:rPr>
                <w:color w:val="000000"/>
              </w:rPr>
              <w:t> </w:t>
            </w:r>
          </w:p>
          <w:p w14:paraId="0B5468C4" w14:textId="77777777" w:rsidR="00DD3584" w:rsidRPr="000E673C" w:rsidRDefault="00B93A94" w:rsidP="007F1DD2">
            <w:pPr>
              <w:ind w:left="130"/>
              <w:jc w:val="center"/>
            </w:pPr>
            <w:r w:rsidRPr="000E673C">
              <w:rPr>
                <w:color w:val="000000"/>
              </w:rPr>
              <w:t xml:space="preserve">Marque </w:t>
            </w:r>
            <w:proofErr w:type="spellStart"/>
            <w:r w:rsidRPr="000E673C">
              <w:rPr>
                <w:color w:val="000000"/>
              </w:rPr>
              <w:t>contestée</w:t>
            </w:r>
            <w:proofErr w:type="spellEnd"/>
          </w:p>
        </w:tc>
      </w:tr>
    </w:tbl>
    <w:p w14:paraId="0B5468C6" w14:textId="2F7C655E" w:rsidR="00DD3584" w:rsidRPr="000E673C" w:rsidRDefault="00B93A94" w:rsidP="007F1DD2">
      <w:pPr>
        <w:jc w:val="both"/>
      </w:pPr>
      <w:r w:rsidRPr="000E673C">
        <w:rPr>
          <w:color w:val="000000"/>
        </w:rPr>
        <w:t> </w:t>
      </w:r>
    </w:p>
    <w:p w14:paraId="0B5468CC" w14:textId="4F665B98" w:rsidR="00DD3584" w:rsidRPr="000E673C" w:rsidRDefault="00B93A94" w:rsidP="007F1DD2">
      <w:pPr>
        <w:jc w:val="both"/>
        <w:rPr>
          <w:lang w:val="fr-FR"/>
        </w:rPr>
      </w:pPr>
      <w:bookmarkStart w:id="18" w:name="chk-paragraph-9-3-3-2_nodeId--1371220369"/>
      <w:bookmarkEnd w:id="17"/>
      <w:r w:rsidRPr="000E673C">
        <w:rPr>
          <w:color w:val="000000"/>
          <w:lang w:val="fr-FR"/>
        </w:rPr>
        <w:t xml:space="preserve">Le territoire pertinent est </w:t>
      </w:r>
      <w:r w:rsidR="009D1E11" w:rsidRPr="000E673C">
        <w:rPr>
          <w:color w:val="000000"/>
          <w:lang w:val="fr-FR"/>
        </w:rPr>
        <w:t>l’Union européenne</w:t>
      </w:r>
      <w:r w:rsidRPr="000E673C">
        <w:rPr>
          <w:color w:val="000000"/>
          <w:lang w:val="fr-FR"/>
        </w:rPr>
        <w:t>.</w:t>
      </w:r>
    </w:p>
    <w:p w14:paraId="0B5468CD" w14:textId="6D80FDC7" w:rsidR="00DD3584" w:rsidRPr="000E673C" w:rsidRDefault="00B93A94" w:rsidP="007F1DD2">
      <w:pPr>
        <w:jc w:val="both"/>
        <w:rPr>
          <w:lang w:val="fr-FR"/>
        </w:rPr>
      </w:pPr>
      <w:r w:rsidRPr="000E673C">
        <w:rPr>
          <w:color w:val="000000"/>
          <w:lang w:val="fr-FR"/>
        </w:rPr>
        <w:t> </w:t>
      </w:r>
    </w:p>
    <w:p w14:paraId="0B5468CE" w14:textId="4BD8B518" w:rsidR="00DD3584" w:rsidRPr="000E673C" w:rsidRDefault="00B93A94" w:rsidP="007F1DD2">
      <w:pPr>
        <w:jc w:val="both"/>
        <w:rPr>
          <w:color w:val="000000"/>
          <w:lang w:val="fr-FR"/>
        </w:rPr>
      </w:pPr>
      <w:r w:rsidRPr="000E673C">
        <w:rPr>
          <w:color w:val="000000"/>
          <w:lang w:val="fr-FR"/>
        </w:rPr>
        <w:t>L’appréciation globale doit, en ce qui concerne la similitude visuelle, phonétique ou conceptuelle des marques en cause, être fondée sur l’impression d’ensemble produite par les marques, en tenant compte, notamment, des éléments distinctifs et dominants de celles-ci (11/11/1997, C</w:t>
      </w:r>
      <w:r w:rsidRPr="000E673C">
        <w:rPr>
          <w:rFonts w:ascii="Cambria Math" w:hAnsi="Cambria Math" w:cs="Cambria Math"/>
          <w:color w:val="000000"/>
          <w:lang w:val="fr-FR"/>
        </w:rPr>
        <w:t>‑</w:t>
      </w:r>
      <w:r w:rsidRPr="000E673C">
        <w:rPr>
          <w:color w:val="000000"/>
          <w:lang w:val="fr-FR"/>
        </w:rPr>
        <w:t xml:space="preserve">251/95, </w:t>
      </w:r>
      <w:proofErr w:type="spellStart"/>
      <w:r w:rsidRPr="000E673C">
        <w:rPr>
          <w:color w:val="000000"/>
          <w:lang w:val="fr-FR"/>
        </w:rPr>
        <w:t>Sabèl</w:t>
      </w:r>
      <w:proofErr w:type="spellEnd"/>
      <w:r w:rsidRPr="000E673C">
        <w:rPr>
          <w:color w:val="000000"/>
          <w:lang w:val="fr-FR"/>
        </w:rPr>
        <w:t xml:space="preserve">, </w:t>
      </w:r>
      <w:proofErr w:type="gramStart"/>
      <w:r w:rsidRPr="000E673C">
        <w:rPr>
          <w:color w:val="000000"/>
          <w:lang w:val="fr-FR"/>
        </w:rPr>
        <w:t>EU:C:1997:</w:t>
      </w:r>
      <w:proofErr w:type="gramEnd"/>
      <w:r w:rsidRPr="000E673C">
        <w:rPr>
          <w:color w:val="000000"/>
          <w:lang w:val="fr-FR"/>
        </w:rPr>
        <w:t>528, § 23).</w:t>
      </w:r>
    </w:p>
    <w:p w14:paraId="0A04DB77" w14:textId="77777777" w:rsidR="00194F3B" w:rsidRPr="000E673C" w:rsidRDefault="00194F3B" w:rsidP="007F1DD2">
      <w:pPr>
        <w:jc w:val="both"/>
        <w:rPr>
          <w:color w:val="000000"/>
          <w:lang w:val="fr-FR"/>
        </w:rPr>
      </w:pPr>
    </w:p>
    <w:p w14:paraId="24ED0586" w14:textId="4D91F7D2" w:rsidR="001A6D5E" w:rsidRPr="000E673C" w:rsidRDefault="001A6D5E" w:rsidP="001A6D5E">
      <w:pPr>
        <w:jc w:val="both"/>
        <w:rPr>
          <w:lang w:val="fr-FR"/>
        </w:rPr>
      </w:pPr>
      <w:r w:rsidRPr="000E673C">
        <w:rPr>
          <w:color w:val="000000"/>
          <w:lang w:val="fr-FR"/>
        </w:rPr>
        <w:t>Le caractère unitaire de la marque de l’Union européenne implique qu’une marque de l’Union européenne antérieure est opposable à toute demande d’enregistrement de marque de l’Union européenne qui porterait atteinte à la protection de la première marque, ne fût-ce que par rapport à la perception des consommateurs d’une partie du territoire de l’Union européenne (18/09/2008, C</w:t>
      </w:r>
      <w:r w:rsidRPr="000E673C">
        <w:rPr>
          <w:rFonts w:ascii="Cambria Math" w:hAnsi="Cambria Math" w:cs="Cambria Math"/>
          <w:color w:val="000000"/>
          <w:lang w:val="fr-FR"/>
        </w:rPr>
        <w:t>‑</w:t>
      </w:r>
      <w:r w:rsidRPr="000E673C">
        <w:rPr>
          <w:color w:val="000000"/>
          <w:lang w:val="fr-FR"/>
        </w:rPr>
        <w:t xml:space="preserve">514/06 P, ARMAFOAM / NOMAFOAM, </w:t>
      </w:r>
      <w:proofErr w:type="gramStart"/>
      <w:r w:rsidRPr="000E673C">
        <w:rPr>
          <w:color w:val="000000"/>
          <w:lang w:val="fr-FR"/>
        </w:rPr>
        <w:t>EU:C:2008:</w:t>
      </w:r>
      <w:proofErr w:type="gramEnd"/>
      <w:r w:rsidRPr="000E673C">
        <w:rPr>
          <w:color w:val="000000"/>
          <w:lang w:val="fr-FR"/>
        </w:rPr>
        <w:t>511, § 57). Dès lors, l’existence d’un risque de confusion pour une partie seulement du public pertinent de l’Union européenne est suffisante pour conclure au rejet de la demande contestée.</w:t>
      </w:r>
    </w:p>
    <w:p w14:paraId="1F4E9669" w14:textId="77777777" w:rsidR="001A6D5E" w:rsidRPr="000E673C" w:rsidRDefault="001A6D5E" w:rsidP="007F1DD2">
      <w:pPr>
        <w:jc w:val="both"/>
        <w:rPr>
          <w:color w:val="000000"/>
          <w:lang w:val="fr-FR"/>
        </w:rPr>
      </w:pPr>
    </w:p>
    <w:p w14:paraId="1EE5856E" w14:textId="33C19F79" w:rsidR="001A6D5E" w:rsidRPr="008C6DCB" w:rsidRDefault="00E53248" w:rsidP="007F1DD2">
      <w:pPr>
        <w:jc w:val="both"/>
        <w:rPr>
          <w:color w:val="000000"/>
          <w:highlight w:val="yellow"/>
          <w:lang w:val="fr-FR"/>
        </w:rPr>
      </w:pPr>
      <w:r w:rsidRPr="008C6DCB">
        <w:rPr>
          <w:color w:val="000000"/>
          <w:highlight w:val="yellow"/>
          <w:lang w:val="fr-FR"/>
        </w:rPr>
        <w:t xml:space="preserve">Les marques en cause sont toutes deux des marques verbales, la marque antérieure étant composée uniquement de l’élément « HERMÈS » alors que la marque contestée des éléments « HERMÉS CLUB ». Les éléments « HERMÈS » et « HERMÉS », malgré l’accent aigu de la marque antérieure qui devient grave dans la marque contestée seront tous deux compris comme se </w:t>
      </w:r>
      <w:r w:rsidR="00A77923" w:rsidRPr="008C6DCB">
        <w:rPr>
          <w:color w:val="000000"/>
          <w:highlight w:val="yellow"/>
          <w:lang w:val="fr-FR"/>
        </w:rPr>
        <w:t>référant</w:t>
      </w:r>
      <w:r w:rsidRPr="008C6DCB">
        <w:rPr>
          <w:color w:val="000000"/>
          <w:highlight w:val="yellow"/>
          <w:lang w:val="fr-FR"/>
        </w:rPr>
        <w:t xml:space="preserve"> par une grande majorité du public</w:t>
      </w:r>
      <w:r w:rsidR="001A6D5E" w:rsidRPr="008C6DCB">
        <w:rPr>
          <w:color w:val="000000"/>
          <w:highlight w:val="yellow"/>
          <w:lang w:val="fr-FR"/>
        </w:rPr>
        <w:t xml:space="preserve"> </w:t>
      </w:r>
      <w:bookmarkStart w:id="19" w:name="_Hlk213835677"/>
      <w:r w:rsidR="001A6D5E" w:rsidRPr="008C6DCB">
        <w:rPr>
          <w:color w:val="000000"/>
          <w:highlight w:val="yellow"/>
          <w:lang w:val="fr-FR"/>
        </w:rPr>
        <w:t>–</w:t>
      </w:r>
      <w:bookmarkEnd w:id="19"/>
      <w:r w:rsidR="001A6D5E" w:rsidRPr="008C6DCB">
        <w:rPr>
          <w:color w:val="000000"/>
          <w:highlight w:val="yellow"/>
          <w:lang w:val="fr-FR"/>
        </w:rPr>
        <w:t xml:space="preserve"> tels que les francophones et </w:t>
      </w:r>
      <w:r w:rsidR="002E78AD" w:rsidRPr="008C6DCB">
        <w:rPr>
          <w:color w:val="000000"/>
          <w:highlight w:val="yellow"/>
          <w:lang w:val="fr-FR"/>
        </w:rPr>
        <w:t xml:space="preserve">les </w:t>
      </w:r>
      <w:r w:rsidR="001A6D5E" w:rsidRPr="008C6DCB">
        <w:rPr>
          <w:color w:val="000000"/>
          <w:highlight w:val="yellow"/>
          <w:lang w:val="fr-FR"/>
        </w:rPr>
        <w:t xml:space="preserve">anglophones </w:t>
      </w:r>
      <w:r w:rsidR="00A77923" w:rsidRPr="008C6DCB">
        <w:rPr>
          <w:color w:val="000000"/>
          <w:highlight w:val="yellow"/>
          <w:lang w:val="fr-FR"/>
        </w:rPr>
        <w:t>–</w:t>
      </w:r>
      <w:r w:rsidRPr="008C6DCB">
        <w:rPr>
          <w:color w:val="000000"/>
          <w:highlight w:val="yellow"/>
          <w:lang w:val="fr-FR"/>
        </w:rPr>
        <w:t xml:space="preserve"> au dieu de la mythologie grec</w:t>
      </w:r>
      <w:r w:rsidR="001A6D5E" w:rsidRPr="008C6DCB">
        <w:rPr>
          <w:color w:val="000000"/>
          <w:highlight w:val="yellow"/>
          <w:lang w:val="fr-FR"/>
        </w:rPr>
        <w:t>que, faisant partie des dieux de l’Olympe</w:t>
      </w:r>
      <w:r w:rsidRPr="008C6DCB">
        <w:rPr>
          <w:color w:val="000000"/>
          <w:highlight w:val="yellow"/>
          <w:lang w:val="fr-FR"/>
        </w:rPr>
        <w:t>, fils de Zeu</w:t>
      </w:r>
      <w:r w:rsidR="001A6D5E" w:rsidRPr="008C6DCB">
        <w:rPr>
          <w:color w:val="000000"/>
          <w:highlight w:val="yellow"/>
          <w:lang w:val="fr-FR"/>
        </w:rPr>
        <w:t>s</w:t>
      </w:r>
      <w:r w:rsidRPr="008C6DCB">
        <w:rPr>
          <w:color w:val="000000"/>
          <w:highlight w:val="yellow"/>
          <w:lang w:val="fr-FR"/>
        </w:rPr>
        <w:t xml:space="preserve"> et message des dieux</w:t>
      </w:r>
      <w:r w:rsidR="001A6D5E" w:rsidRPr="008C6DCB">
        <w:rPr>
          <w:color w:val="000000"/>
          <w:highlight w:val="yellow"/>
          <w:lang w:val="fr-FR"/>
        </w:rPr>
        <w:t>. Pour cette partie du public qui perçoit cette signification au sein de ces deux éléments, ce concept commun contribue</w:t>
      </w:r>
      <w:r w:rsidR="001A6D5E" w:rsidRPr="008C6DCB">
        <w:rPr>
          <w:b/>
          <w:color w:val="000000"/>
          <w:highlight w:val="yellow"/>
          <w:lang w:val="fr-FR"/>
        </w:rPr>
        <w:t xml:space="preserve"> </w:t>
      </w:r>
      <w:r w:rsidR="001A6D5E" w:rsidRPr="008C6DCB">
        <w:rPr>
          <w:color w:val="000000"/>
          <w:highlight w:val="yellow"/>
          <w:lang w:val="fr-FR"/>
        </w:rPr>
        <w:t>à la similitude globale entre les signes. Par conséquent, la division d’opposition estime qu’il convient de concentrer la comparaison des signes sur l</w:t>
      </w:r>
      <w:r w:rsidR="002E78AD" w:rsidRPr="008C6DCB">
        <w:rPr>
          <w:color w:val="000000"/>
          <w:highlight w:val="yellow"/>
          <w:lang w:val="fr-FR"/>
        </w:rPr>
        <w:t xml:space="preserve">a partie </w:t>
      </w:r>
      <w:r w:rsidR="001A6D5E" w:rsidRPr="008C6DCB">
        <w:rPr>
          <w:color w:val="000000"/>
          <w:highlight w:val="yellow"/>
          <w:lang w:val="fr-FR"/>
        </w:rPr>
        <w:t>francophone et anglophone</w:t>
      </w:r>
      <w:r w:rsidR="00A77923" w:rsidRPr="008C6DCB">
        <w:rPr>
          <w:color w:val="000000"/>
          <w:highlight w:val="yellow"/>
          <w:lang w:val="fr-FR"/>
        </w:rPr>
        <w:t xml:space="preserve"> du public</w:t>
      </w:r>
      <w:r w:rsidR="00F9526E" w:rsidRPr="008C6DCB">
        <w:rPr>
          <w:color w:val="000000"/>
          <w:highlight w:val="yellow"/>
          <w:lang w:val="fr-FR"/>
        </w:rPr>
        <w:t xml:space="preserve"> pour qui cette</w:t>
      </w:r>
      <w:r w:rsidR="001A6D5E" w:rsidRPr="008C6DCB">
        <w:rPr>
          <w:color w:val="000000"/>
          <w:highlight w:val="yellow"/>
          <w:lang w:val="fr-FR"/>
        </w:rPr>
        <w:t xml:space="preserve"> signification est sans lien avec les produits et services en cause, </w:t>
      </w:r>
      <w:r w:rsidR="00F9526E" w:rsidRPr="008C6DCB">
        <w:rPr>
          <w:color w:val="000000"/>
          <w:highlight w:val="yellow"/>
          <w:lang w:val="fr-FR"/>
        </w:rPr>
        <w:t>et donc</w:t>
      </w:r>
      <w:r w:rsidR="001A6D5E" w:rsidRPr="008C6DCB">
        <w:rPr>
          <w:color w:val="000000"/>
          <w:highlight w:val="yellow"/>
          <w:lang w:val="fr-FR"/>
        </w:rPr>
        <w:t xml:space="preserve"> est distinctif. </w:t>
      </w:r>
    </w:p>
    <w:p w14:paraId="7BC2B8B3" w14:textId="77777777" w:rsidR="001A6D5E" w:rsidRPr="008C6DCB" w:rsidRDefault="001A6D5E" w:rsidP="007F1DD2">
      <w:pPr>
        <w:jc w:val="both"/>
        <w:rPr>
          <w:color w:val="000000"/>
          <w:highlight w:val="yellow"/>
          <w:lang w:val="fr-FR"/>
        </w:rPr>
      </w:pPr>
    </w:p>
    <w:p w14:paraId="26BD4337" w14:textId="27B7256C" w:rsidR="001A6D5E" w:rsidRPr="000E673C" w:rsidRDefault="001A6D5E" w:rsidP="001A6D5E">
      <w:pPr>
        <w:jc w:val="both"/>
        <w:rPr>
          <w:lang w:val="fr-FR"/>
        </w:rPr>
      </w:pPr>
      <w:r w:rsidRPr="008C6DCB">
        <w:rPr>
          <w:color w:val="000000"/>
          <w:highlight w:val="yellow"/>
          <w:lang w:val="fr-FR"/>
        </w:rPr>
        <w:t>Dès lors que l’opposante n’a pas explicitement fait valoir que sa marque est particulièrement distinctive en raison d’un usage intensif ou d’une renommée</w:t>
      </w:r>
      <w:r w:rsidRPr="000E673C">
        <w:rPr>
          <w:color w:val="000000"/>
          <w:lang w:val="fr-FR"/>
        </w:rPr>
        <w:t xml:space="preserve">, pour les raisons </w:t>
      </w:r>
      <w:r w:rsidRPr="000E673C">
        <w:rPr>
          <w:color w:val="000000"/>
          <w:lang w:val="fr-FR"/>
        </w:rPr>
        <w:lastRenderedPageBreak/>
        <w:t>susmentionnées, le caractère distinctif de la marque antérieure doit être considéré comme normal pour les produits et services en cause.</w:t>
      </w:r>
    </w:p>
    <w:p w14:paraId="197132F9" w14:textId="77777777" w:rsidR="001A6D5E" w:rsidRPr="000E673C" w:rsidRDefault="001A6D5E" w:rsidP="007F1DD2">
      <w:pPr>
        <w:jc w:val="both"/>
        <w:rPr>
          <w:color w:val="000000"/>
          <w:lang w:val="fr-FR"/>
        </w:rPr>
      </w:pPr>
    </w:p>
    <w:p w14:paraId="3B34AD8F" w14:textId="65C13C37" w:rsidR="001A6D5E" w:rsidRPr="000E673C" w:rsidRDefault="001A6D5E" w:rsidP="007F1DD2">
      <w:pPr>
        <w:jc w:val="both"/>
        <w:rPr>
          <w:color w:val="000000"/>
          <w:lang w:val="fr-FR"/>
        </w:rPr>
      </w:pPr>
      <w:r w:rsidRPr="000E673C">
        <w:rPr>
          <w:color w:val="000000"/>
          <w:lang w:val="fr-FR"/>
        </w:rPr>
        <w:t>Enfin, s’agissant du deuxième élément « CLUB » de la marque contestée</w:t>
      </w:r>
      <w:r w:rsidR="00A77923" w:rsidRPr="000E673C">
        <w:rPr>
          <w:color w:val="000000"/>
          <w:lang w:val="fr-FR"/>
        </w:rPr>
        <w:t>, il</w:t>
      </w:r>
      <w:r w:rsidR="002E78AD" w:rsidRPr="000E673C">
        <w:rPr>
          <w:color w:val="000000"/>
          <w:lang w:val="fr-FR"/>
        </w:rPr>
        <w:t xml:space="preserve"> sera compris par le public analysé comme désignant</w:t>
      </w:r>
      <w:r w:rsidRPr="000E673C">
        <w:rPr>
          <w:color w:val="000000"/>
          <w:lang w:val="fr-FR"/>
        </w:rPr>
        <w:t xml:space="preserve"> </w:t>
      </w:r>
      <w:r w:rsidR="00F56DFB" w:rsidRPr="000E673C">
        <w:rPr>
          <w:color w:val="000000"/>
          <w:lang w:val="fr-FR"/>
        </w:rPr>
        <w:t xml:space="preserve">une société, une association constituée pour aider ses membres à exercer des activités désintéressées (sports, voyages) (voir en ce sens la définition du dictionnaire en ligne Le Robert extraite de le 11/11/2025 à l’adresse </w:t>
      </w:r>
      <w:r w:rsidR="00F56DFB" w:rsidRPr="000E673C">
        <w:rPr>
          <w:lang w:val="fr-FR"/>
        </w:rPr>
        <w:t>https://dictionnaire.lerobert.com/definition/club</w:t>
      </w:r>
      <w:r w:rsidR="00F56DFB" w:rsidRPr="000E673C">
        <w:rPr>
          <w:color w:val="000000"/>
          <w:lang w:val="fr-FR"/>
        </w:rPr>
        <w:t xml:space="preserve">). Compte tenu de cette définition, </w:t>
      </w:r>
      <w:r w:rsidR="00A26279" w:rsidRPr="000E673C">
        <w:rPr>
          <w:color w:val="000000"/>
          <w:lang w:val="fr-FR"/>
        </w:rPr>
        <w:t>ce terme sera compris par le consommateur comme se rapportant à une adhésion, y compris privilégiée, à un club et n’aura donc qu’un faible caractère distinctif (10/09/2024, R 975/2024-4, The Kids Club / BABY CLUB, § 30).</w:t>
      </w:r>
    </w:p>
    <w:p w14:paraId="4299677D" w14:textId="77777777" w:rsidR="00A26279" w:rsidRPr="000E673C" w:rsidRDefault="00A26279" w:rsidP="007F1DD2">
      <w:pPr>
        <w:jc w:val="both"/>
        <w:rPr>
          <w:color w:val="000000"/>
          <w:lang w:val="fr-FR"/>
        </w:rPr>
      </w:pPr>
      <w:bookmarkStart w:id="20" w:name="chk-paragraph-9-3-3-2-5-2-2_nodeId-84510"/>
      <w:bookmarkEnd w:id="18"/>
    </w:p>
    <w:p w14:paraId="0B5468E8" w14:textId="1E0422F8" w:rsidR="00DD3584" w:rsidRPr="000E673C" w:rsidRDefault="00A26279" w:rsidP="007F1DD2">
      <w:pPr>
        <w:jc w:val="both"/>
        <w:rPr>
          <w:lang w:val="fr-FR"/>
        </w:rPr>
      </w:pPr>
      <w:r w:rsidRPr="000E673C">
        <w:rPr>
          <w:color w:val="000000"/>
          <w:lang w:val="fr-FR"/>
        </w:rPr>
        <w:t>En outre, il convient de préciser que l</w:t>
      </w:r>
      <w:r w:rsidR="00B93A94" w:rsidRPr="000E673C">
        <w:rPr>
          <w:color w:val="000000"/>
          <w:lang w:val="fr-FR"/>
        </w:rPr>
        <w:t>es consommateurs ont généralement tendance à se concentrer sur le début d’un signe lorsqu’ils sont confrontés à une marque (25/03/2009, T</w:t>
      </w:r>
      <w:r w:rsidR="00B93A94" w:rsidRPr="000E673C">
        <w:rPr>
          <w:rFonts w:ascii="Cambria Math" w:hAnsi="Cambria Math"/>
          <w:color w:val="000000"/>
          <w:lang w:val="fr-FR"/>
        </w:rPr>
        <w:t>‑</w:t>
      </w:r>
      <w:r w:rsidR="00B93A94" w:rsidRPr="000E673C">
        <w:rPr>
          <w:color w:val="000000"/>
          <w:lang w:val="fr-FR"/>
        </w:rPr>
        <w:t xml:space="preserve">109/07, SPA THERAPY / SPA </w:t>
      </w:r>
      <w:proofErr w:type="spellStart"/>
      <w:r w:rsidR="00B93A94" w:rsidRPr="000E673C">
        <w:rPr>
          <w:color w:val="000000"/>
          <w:lang w:val="fr-FR"/>
        </w:rPr>
        <w:t>ea</w:t>
      </w:r>
      <w:proofErr w:type="spellEnd"/>
      <w:r w:rsidR="00B93A94" w:rsidRPr="000E673C">
        <w:rPr>
          <w:color w:val="000000"/>
          <w:lang w:val="fr-FR"/>
        </w:rPr>
        <w:t xml:space="preserve">, </w:t>
      </w:r>
      <w:proofErr w:type="gramStart"/>
      <w:r w:rsidR="00B93A94" w:rsidRPr="000E673C">
        <w:rPr>
          <w:color w:val="000000"/>
          <w:lang w:val="fr-FR"/>
        </w:rPr>
        <w:t>EU:T</w:t>
      </w:r>
      <w:proofErr w:type="gramEnd"/>
      <w:r w:rsidR="00B93A94" w:rsidRPr="000E673C">
        <w:rPr>
          <w:color w:val="000000"/>
          <w:lang w:val="fr-FR"/>
        </w:rPr>
        <w:t>:</w:t>
      </w:r>
      <w:proofErr w:type="gramStart"/>
      <w:r w:rsidR="00B93A94" w:rsidRPr="000E673C">
        <w:rPr>
          <w:color w:val="000000"/>
          <w:lang w:val="fr-FR"/>
        </w:rPr>
        <w:t>2009:</w:t>
      </w:r>
      <w:proofErr w:type="gramEnd"/>
      <w:r w:rsidR="00B93A94" w:rsidRPr="000E673C">
        <w:rPr>
          <w:color w:val="000000"/>
          <w:lang w:val="fr-FR"/>
        </w:rPr>
        <w:t xml:space="preserve">81, § </w:t>
      </w:r>
      <w:proofErr w:type="gramStart"/>
      <w:r w:rsidR="00B93A94" w:rsidRPr="000E673C">
        <w:rPr>
          <w:color w:val="000000"/>
          <w:lang w:val="fr-FR"/>
        </w:rPr>
        <w:t>30;</w:t>
      </w:r>
      <w:proofErr w:type="gramEnd"/>
      <w:r w:rsidR="00B93A94" w:rsidRPr="000E673C">
        <w:rPr>
          <w:color w:val="000000"/>
          <w:lang w:val="fr-FR"/>
        </w:rPr>
        <w:t xml:space="preserve"> 15/12/2009, T</w:t>
      </w:r>
      <w:r w:rsidR="00B93A94" w:rsidRPr="000E673C">
        <w:rPr>
          <w:rFonts w:ascii="Cambria Math" w:hAnsi="Cambria Math"/>
          <w:color w:val="000000"/>
          <w:lang w:val="fr-FR"/>
        </w:rPr>
        <w:t>‑</w:t>
      </w:r>
      <w:r w:rsidR="00B93A94" w:rsidRPr="000E673C">
        <w:rPr>
          <w:color w:val="000000"/>
          <w:lang w:val="fr-FR"/>
        </w:rPr>
        <w:t xml:space="preserve">412/08, TRUBION / BION, </w:t>
      </w:r>
      <w:proofErr w:type="spellStart"/>
      <w:r w:rsidR="00B93A94" w:rsidRPr="000E673C">
        <w:rPr>
          <w:color w:val="000000"/>
          <w:lang w:val="fr-FR"/>
        </w:rPr>
        <w:t>TriBion</w:t>
      </w:r>
      <w:proofErr w:type="spellEnd"/>
      <w:r w:rsidR="00B93A94" w:rsidRPr="000E673C">
        <w:rPr>
          <w:color w:val="000000"/>
          <w:lang w:val="fr-FR"/>
        </w:rPr>
        <w:t xml:space="preserve"> </w:t>
      </w:r>
      <w:proofErr w:type="spellStart"/>
      <w:r w:rsidR="00B93A94" w:rsidRPr="000E673C">
        <w:rPr>
          <w:color w:val="000000"/>
          <w:lang w:val="fr-FR"/>
        </w:rPr>
        <w:t>Harmonis</w:t>
      </w:r>
      <w:proofErr w:type="spellEnd"/>
      <w:r w:rsidR="00B93A94" w:rsidRPr="000E673C">
        <w:rPr>
          <w:color w:val="000000"/>
          <w:lang w:val="fr-FR"/>
        </w:rPr>
        <w:t xml:space="preserve"> (fig.), </w:t>
      </w:r>
      <w:proofErr w:type="gramStart"/>
      <w:r w:rsidR="00B93A94" w:rsidRPr="000E673C">
        <w:rPr>
          <w:color w:val="000000"/>
          <w:lang w:val="fr-FR"/>
        </w:rPr>
        <w:t>EU:T</w:t>
      </w:r>
      <w:proofErr w:type="gramEnd"/>
      <w:r w:rsidR="00B93A94" w:rsidRPr="000E673C">
        <w:rPr>
          <w:color w:val="000000"/>
          <w:lang w:val="fr-FR"/>
        </w:rPr>
        <w:t>:</w:t>
      </w:r>
      <w:proofErr w:type="gramStart"/>
      <w:r w:rsidR="00B93A94" w:rsidRPr="000E673C">
        <w:rPr>
          <w:color w:val="000000"/>
          <w:lang w:val="fr-FR"/>
        </w:rPr>
        <w:t>2009:</w:t>
      </w:r>
      <w:proofErr w:type="gramEnd"/>
      <w:r w:rsidR="00B93A94" w:rsidRPr="000E673C">
        <w:rPr>
          <w:color w:val="000000"/>
          <w:lang w:val="fr-FR"/>
        </w:rPr>
        <w:t xml:space="preserve">507, § </w:t>
      </w:r>
      <w:proofErr w:type="gramStart"/>
      <w:r w:rsidR="00B93A94" w:rsidRPr="000E673C">
        <w:rPr>
          <w:color w:val="000000"/>
          <w:lang w:val="fr-FR"/>
        </w:rPr>
        <w:t>40;</w:t>
      </w:r>
      <w:proofErr w:type="gramEnd"/>
      <w:r w:rsidR="00B93A94" w:rsidRPr="000E673C">
        <w:rPr>
          <w:color w:val="000000"/>
          <w:lang w:val="fr-FR"/>
        </w:rPr>
        <w:t xml:space="preserve"> 06/10/2011, T</w:t>
      </w:r>
      <w:r w:rsidR="00B93A94" w:rsidRPr="000E673C">
        <w:rPr>
          <w:rFonts w:ascii="Cambria Math" w:hAnsi="Cambria Math"/>
          <w:color w:val="000000"/>
          <w:lang w:val="fr-FR"/>
        </w:rPr>
        <w:t>‑</w:t>
      </w:r>
      <w:r w:rsidR="00B93A94" w:rsidRPr="000E673C">
        <w:rPr>
          <w:color w:val="000000"/>
          <w:lang w:val="fr-FR"/>
        </w:rPr>
        <w:t xml:space="preserve">176/10, SEVEN FOR ALL MANKIND / SEVEN, </w:t>
      </w:r>
      <w:proofErr w:type="gramStart"/>
      <w:r w:rsidR="00B93A94" w:rsidRPr="000E673C">
        <w:rPr>
          <w:color w:val="000000"/>
          <w:lang w:val="fr-FR"/>
        </w:rPr>
        <w:t>EU:T</w:t>
      </w:r>
      <w:proofErr w:type="gramEnd"/>
      <w:r w:rsidR="00B93A94" w:rsidRPr="000E673C">
        <w:rPr>
          <w:color w:val="000000"/>
          <w:lang w:val="fr-FR"/>
        </w:rPr>
        <w:t>:</w:t>
      </w:r>
      <w:proofErr w:type="gramStart"/>
      <w:r w:rsidR="00B93A94" w:rsidRPr="000E673C">
        <w:rPr>
          <w:color w:val="000000"/>
          <w:lang w:val="fr-FR"/>
        </w:rPr>
        <w:t>2011:</w:t>
      </w:r>
      <w:proofErr w:type="gramEnd"/>
      <w:r w:rsidR="00B93A94" w:rsidRPr="000E673C">
        <w:rPr>
          <w:color w:val="000000"/>
          <w:lang w:val="fr-FR"/>
        </w:rPr>
        <w:t>577, § 39). Cette tendance s’explique par le fait que le public lit de gauche à droite, ce qui fait que la partie placée à la gauche du signe (la partie initiale) est celle qui attire en premier lieu l’attention du lecteur.</w:t>
      </w:r>
    </w:p>
    <w:p w14:paraId="0B5468EB" w14:textId="77B06004" w:rsidR="00DD3584" w:rsidRPr="000E673C" w:rsidRDefault="00B93A94" w:rsidP="007F1DD2">
      <w:pPr>
        <w:jc w:val="both"/>
        <w:rPr>
          <w:lang w:val="fr-FR"/>
        </w:rPr>
      </w:pPr>
      <w:bookmarkStart w:id="21" w:name="chk-paragraph-9-3-3-2-6_nodeId-141804686"/>
      <w:bookmarkEnd w:id="20"/>
      <w:r w:rsidRPr="000E673C">
        <w:rPr>
          <w:color w:val="000000"/>
          <w:lang w:val="fr-FR"/>
        </w:rPr>
        <w:t> </w:t>
      </w:r>
    </w:p>
    <w:p w14:paraId="08E348A7" w14:textId="35908A97" w:rsidR="00A26279" w:rsidRPr="008C6DCB" w:rsidRDefault="00B93A94" w:rsidP="007F1DD2">
      <w:pPr>
        <w:jc w:val="both"/>
        <w:rPr>
          <w:color w:val="000000"/>
          <w:highlight w:val="yellow"/>
          <w:lang w:val="fr-FR"/>
        </w:rPr>
      </w:pPr>
      <w:r w:rsidRPr="008C6DCB">
        <w:rPr>
          <w:b/>
          <w:color w:val="000000"/>
          <w:highlight w:val="yellow"/>
          <w:lang w:val="fr-FR"/>
        </w:rPr>
        <w:t>Sur le</w:t>
      </w:r>
      <w:r w:rsidR="00A26279" w:rsidRPr="008C6DCB">
        <w:rPr>
          <w:b/>
          <w:color w:val="000000"/>
          <w:highlight w:val="yellow"/>
          <w:lang w:val="fr-FR"/>
        </w:rPr>
        <w:t>s</w:t>
      </w:r>
      <w:r w:rsidRPr="008C6DCB">
        <w:rPr>
          <w:b/>
          <w:color w:val="000000"/>
          <w:highlight w:val="yellow"/>
          <w:lang w:val="fr-FR"/>
        </w:rPr>
        <w:t xml:space="preserve"> plan</w:t>
      </w:r>
      <w:r w:rsidR="00A26279" w:rsidRPr="008C6DCB">
        <w:rPr>
          <w:b/>
          <w:color w:val="000000"/>
          <w:highlight w:val="yellow"/>
          <w:lang w:val="fr-FR"/>
        </w:rPr>
        <w:t>s</w:t>
      </w:r>
      <w:r w:rsidRPr="008C6DCB">
        <w:rPr>
          <w:b/>
          <w:color w:val="000000"/>
          <w:highlight w:val="yellow"/>
          <w:lang w:val="fr-FR"/>
        </w:rPr>
        <w:t xml:space="preserve"> visuel</w:t>
      </w:r>
      <w:r w:rsidR="00A26279" w:rsidRPr="008C6DCB">
        <w:rPr>
          <w:b/>
          <w:color w:val="000000"/>
          <w:highlight w:val="yellow"/>
          <w:lang w:val="fr-FR"/>
        </w:rPr>
        <w:t xml:space="preserve"> </w:t>
      </w:r>
      <w:r w:rsidR="00A26279" w:rsidRPr="008C6DCB">
        <w:rPr>
          <w:bCs/>
          <w:color w:val="000000"/>
          <w:highlight w:val="yellow"/>
          <w:lang w:val="fr-FR"/>
        </w:rPr>
        <w:t>et</w:t>
      </w:r>
      <w:r w:rsidR="00A26279" w:rsidRPr="008C6DCB">
        <w:rPr>
          <w:b/>
          <w:color w:val="000000"/>
          <w:highlight w:val="yellow"/>
          <w:lang w:val="fr-FR"/>
        </w:rPr>
        <w:t xml:space="preserve"> phonétique</w:t>
      </w:r>
      <w:r w:rsidRPr="008C6DCB">
        <w:rPr>
          <w:color w:val="000000"/>
          <w:highlight w:val="yellow"/>
          <w:lang w:val="fr-FR"/>
        </w:rPr>
        <w:t>, les signes coïncident au niveau de</w:t>
      </w:r>
      <w:r w:rsidR="00A26279" w:rsidRPr="008C6DCB">
        <w:rPr>
          <w:color w:val="000000"/>
          <w:highlight w:val="yellow"/>
          <w:lang w:val="fr-FR"/>
        </w:rPr>
        <w:t xml:space="preserve"> l’élément « HERMES » et de sa prononciation – malgré la présence d’accent différents sur le second « E » de l’élément commun. Les signes diffèrent donc visuellement par cet accent et par l’élément faiblement distinctif additionnel « CLUB » de la marque contestée.</w:t>
      </w:r>
    </w:p>
    <w:p w14:paraId="0FCAB972" w14:textId="77777777" w:rsidR="00A26279" w:rsidRPr="008C6DCB" w:rsidRDefault="00A26279" w:rsidP="007F1DD2">
      <w:pPr>
        <w:jc w:val="both"/>
        <w:rPr>
          <w:color w:val="000000"/>
          <w:highlight w:val="yellow"/>
          <w:lang w:val="fr-FR"/>
        </w:rPr>
      </w:pPr>
    </w:p>
    <w:p w14:paraId="0B546916" w14:textId="703369A7" w:rsidR="00DD3584" w:rsidRPr="008C6DCB" w:rsidRDefault="00A26279" w:rsidP="00A26279">
      <w:pPr>
        <w:jc w:val="both"/>
        <w:rPr>
          <w:highlight w:val="yellow"/>
          <w:lang w:val="fr-FR"/>
        </w:rPr>
      </w:pPr>
      <w:r w:rsidRPr="008C6DCB">
        <w:rPr>
          <w:color w:val="000000"/>
          <w:highlight w:val="yellow"/>
          <w:lang w:val="fr-FR"/>
        </w:rPr>
        <w:t xml:space="preserve">Compte tenu de la distinctivité des éléments en cause, les signes sont visuellement et phonétiquement très similaires.  </w:t>
      </w:r>
      <w:bookmarkStart w:id="22" w:name="chk-paragraph-9-3-3-2-8_nodeId-190523850"/>
      <w:bookmarkEnd w:id="21"/>
    </w:p>
    <w:p w14:paraId="0B54691B" w14:textId="54C59DE6" w:rsidR="00DD3584" w:rsidRPr="008C6DCB" w:rsidRDefault="00DD3584" w:rsidP="007F1DD2">
      <w:pPr>
        <w:jc w:val="both"/>
        <w:rPr>
          <w:highlight w:val="yellow"/>
          <w:lang w:val="fr-FR"/>
        </w:rPr>
      </w:pPr>
    </w:p>
    <w:p w14:paraId="0B546932" w14:textId="0DA59229" w:rsidR="00DD3584" w:rsidRPr="000E673C" w:rsidRDefault="00B93A94" w:rsidP="00A26279">
      <w:pPr>
        <w:jc w:val="both"/>
        <w:rPr>
          <w:lang w:val="fr-FR"/>
        </w:rPr>
      </w:pPr>
      <w:r w:rsidRPr="008C6DCB">
        <w:rPr>
          <w:b/>
          <w:color w:val="000000"/>
          <w:highlight w:val="yellow"/>
          <w:lang w:val="fr-FR"/>
        </w:rPr>
        <w:t>Sur le plan conceptuel</w:t>
      </w:r>
      <w:r w:rsidRPr="008C6DCB">
        <w:rPr>
          <w:color w:val="000000"/>
          <w:highlight w:val="yellow"/>
          <w:lang w:val="fr-FR"/>
        </w:rPr>
        <w:t xml:space="preserve">, il est fait référence aux affirmations précédentes concernant le contenu sémantique des marques. Étant donné que les deux signes seront associés </w:t>
      </w:r>
      <w:r w:rsidR="00A26279" w:rsidRPr="008C6DCB">
        <w:rPr>
          <w:color w:val="000000"/>
          <w:highlight w:val="yellow"/>
          <w:lang w:val="fr-FR"/>
        </w:rPr>
        <w:t>au dieu grec « HERMES »</w:t>
      </w:r>
      <w:r w:rsidRPr="008C6DCB">
        <w:rPr>
          <w:color w:val="000000"/>
          <w:highlight w:val="yellow"/>
          <w:lang w:val="fr-FR"/>
        </w:rPr>
        <w:t>,</w:t>
      </w:r>
      <w:r w:rsidR="00A26279" w:rsidRPr="008C6DCB">
        <w:rPr>
          <w:color w:val="000000"/>
          <w:highlight w:val="yellow"/>
          <w:lang w:val="fr-FR"/>
        </w:rPr>
        <w:t xml:space="preserve"> mais que la marque contestée contient un concept additionnel faible</w:t>
      </w:r>
      <w:r w:rsidR="00A77923" w:rsidRPr="008C6DCB">
        <w:rPr>
          <w:color w:val="000000"/>
          <w:highlight w:val="yellow"/>
          <w:lang w:val="fr-FR"/>
        </w:rPr>
        <w:t>ment distinctif</w:t>
      </w:r>
      <w:r w:rsidR="00A26279" w:rsidRPr="008C6DCB">
        <w:rPr>
          <w:color w:val="000000"/>
          <w:highlight w:val="yellow"/>
          <w:lang w:val="fr-FR"/>
        </w:rPr>
        <w:t xml:space="preserve">, </w:t>
      </w:r>
      <w:r w:rsidRPr="008C6DCB">
        <w:rPr>
          <w:color w:val="000000"/>
          <w:highlight w:val="yellow"/>
          <w:lang w:val="fr-FR"/>
        </w:rPr>
        <w:t xml:space="preserve">les signes sont </w:t>
      </w:r>
      <w:r w:rsidR="00A26279" w:rsidRPr="008C6DCB">
        <w:rPr>
          <w:color w:val="000000"/>
          <w:highlight w:val="yellow"/>
          <w:lang w:val="fr-FR"/>
        </w:rPr>
        <w:t>très similaires</w:t>
      </w:r>
      <w:r w:rsidRPr="008C6DCB">
        <w:rPr>
          <w:color w:val="000000"/>
          <w:highlight w:val="yellow"/>
          <w:lang w:val="fr-FR"/>
        </w:rPr>
        <w:t xml:space="preserve"> sur le plan conceptuel.</w:t>
      </w:r>
      <w:bookmarkStart w:id="23" w:name="chk-paragraph-9-3-4-7_nodeId-2096283893"/>
      <w:bookmarkEnd w:id="22"/>
    </w:p>
    <w:p w14:paraId="0B546933" w14:textId="43DA6AB2" w:rsidR="00DD3584" w:rsidRPr="000E673C" w:rsidRDefault="00DD3584" w:rsidP="007F1DD2">
      <w:pPr>
        <w:jc w:val="both"/>
        <w:rPr>
          <w:lang w:val="fr-FR"/>
        </w:rPr>
      </w:pPr>
    </w:p>
    <w:p w14:paraId="06CB647B" w14:textId="77777777" w:rsidR="00A26279" w:rsidRPr="000E673C" w:rsidRDefault="00A26279" w:rsidP="007F1DD2">
      <w:pPr>
        <w:jc w:val="both"/>
        <w:rPr>
          <w:color w:val="000000"/>
          <w:lang w:val="fr-FR"/>
        </w:rPr>
      </w:pPr>
      <w:bookmarkStart w:id="24" w:name="chk-paragraph-9-3-5_nodeId--1332642858"/>
      <w:bookmarkEnd w:id="23"/>
    </w:p>
    <w:p w14:paraId="0B546937" w14:textId="1E03F13D" w:rsidR="00DD3584" w:rsidRPr="000E673C" w:rsidRDefault="00A26279" w:rsidP="007F1DD2">
      <w:pPr>
        <w:jc w:val="both"/>
        <w:rPr>
          <w:lang w:val="fr-FR"/>
        </w:rPr>
      </w:pPr>
      <w:r w:rsidRPr="000E673C">
        <w:rPr>
          <w:b/>
          <w:color w:val="000000"/>
          <w:lang w:val="fr-FR"/>
        </w:rPr>
        <w:t>d</w:t>
      </w:r>
      <w:r w:rsidR="00B93A94" w:rsidRPr="000E673C">
        <w:rPr>
          <w:b/>
          <w:color w:val="000000"/>
          <w:lang w:val="fr-FR"/>
        </w:rPr>
        <w:t>) Appréciation globale, autres arguments et conclusion</w:t>
      </w:r>
    </w:p>
    <w:p w14:paraId="0B546938" w14:textId="7BEEF142" w:rsidR="00DD3584" w:rsidRPr="000E673C" w:rsidRDefault="00B93A94" w:rsidP="007F1DD2">
      <w:pPr>
        <w:jc w:val="both"/>
        <w:rPr>
          <w:lang w:val="fr-FR"/>
        </w:rPr>
      </w:pPr>
      <w:r w:rsidRPr="000E673C">
        <w:rPr>
          <w:color w:val="000000"/>
          <w:lang w:val="fr-FR"/>
        </w:rPr>
        <w:t> </w:t>
      </w:r>
    </w:p>
    <w:p w14:paraId="707E2C82" w14:textId="5E1AFF94" w:rsidR="00A26279" w:rsidRPr="000E673C" w:rsidRDefault="00A26279" w:rsidP="007F1DD2">
      <w:pPr>
        <w:jc w:val="both"/>
        <w:rPr>
          <w:color w:val="000000"/>
          <w:lang w:val="fr-FR"/>
        </w:rPr>
      </w:pPr>
      <w:bookmarkStart w:id="25" w:name="chk-paragraph-9-3-5-2_nodeId--1908640140"/>
      <w:bookmarkEnd w:id="24"/>
      <w:r w:rsidRPr="000E673C">
        <w:rPr>
          <w:color w:val="000000"/>
          <w:lang w:val="fr-FR"/>
        </w:rPr>
        <w:t>L’appréciation globale du risque de confusion implique une certaine interdépendance entre les facteurs pris en compte et, notamment, la similitude des marques et celle des produits ou des services. Ainsi, un faible degré de similitude entre les produits et services peut être compensé par un degré élevé de similitude entre les marques et inversement (29/09/1998, C</w:t>
      </w:r>
      <w:r w:rsidRPr="000E673C">
        <w:rPr>
          <w:rFonts w:ascii="Cambria Math" w:hAnsi="Cambria Math" w:cs="Cambria Math"/>
          <w:color w:val="000000"/>
          <w:lang w:val="fr-FR"/>
        </w:rPr>
        <w:t>‑</w:t>
      </w:r>
      <w:r w:rsidRPr="000E673C">
        <w:rPr>
          <w:color w:val="000000"/>
          <w:lang w:val="fr-FR"/>
        </w:rPr>
        <w:t xml:space="preserve">39/97, Canon, </w:t>
      </w:r>
      <w:proofErr w:type="gramStart"/>
      <w:r w:rsidRPr="000E673C">
        <w:rPr>
          <w:color w:val="000000"/>
          <w:lang w:val="fr-FR"/>
        </w:rPr>
        <w:t>EU:C:1998:</w:t>
      </w:r>
      <w:proofErr w:type="gramEnd"/>
      <w:r w:rsidRPr="000E673C">
        <w:rPr>
          <w:color w:val="000000"/>
          <w:lang w:val="fr-FR"/>
        </w:rPr>
        <w:t>442, § 17).</w:t>
      </w:r>
    </w:p>
    <w:p w14:paraId="14233B05" w14:textId="77777777" w:rsidR="00A26279" w:rsidRPr="000E673C" w:rsidRDefault="00A26279" w:rsidP="007F1DD2">
      <w:pPr>
        <w:jc w:val="both"/>
        <w:rPr>
          <w:color w:val="000000"/>
          <w:lang w:val="fr-FR"/>
        </w:rPr>
      </w:pPr>
    </w:p>
    <w:p w14:paraId="482227F1" w14:textId="52E64B1A" w:rsidR="00A26279" w:rsidRPr="000E673C" w:rsidRDefault="00A26279" w:rsidP="007F1DD2">
      <w:pPr>
        <w:jc w:val="both"/>
        <w:rPr>
          <w:color w:val="000000"/>
          <w:lang w:val="fr-FR"/>
        </w:rPr>
      </w:pPr>
      <w:r w:rsidRPr="000E673C">
        <w:rPr>
          <w:color w:val="000000"/>
          <w:lang w:val="fr-FR"/>
        </w:rPr>
        <w:t>En l’espèce, les produits et services en cause sont identiques</w:t>
      </w:r>
      <w:r w:rsidR="00022C11" w:rsidRPr="000E673C">
        <w:rPr>
          <w:color w:val="000000"/>
          <w:lang w:val="fr-FR"/>
        </w:rPr>
        <w:t xml:space="preserve"> ou à tout le moins similaires</w:t>
      </w:r>
      <w:r w:rsidRPr="000E673C">
        <w:rPr>
          <w:color w:val="000000"/>
          <w:lang w:val="fr-FR"/>
        </w:rPr>
        <w:t xml:space="preserve">, ils visent tantôt le grand public, tantôt les professionnels. Leurs niveaux d’attention varient de moyen à </w:t>
      </w:r>
      <w:proofErr w:type="spellStart"/>
      <w:r w:rsidRPr="000E673C">
        <w:rPr>
          <w:color w:val="000000"/>
          <w:lang w:val="fr-FR"/>
        </w:rPr>
        <w:t>élevé</w:t>
      </w:r>
      <w:proofErr w:type="spellEnd"/>
      <w:r w:rsidRPr="000E673C">
        <w:rPr>
          <w:color w:val="000000"/>
          <w:lang w:val="fr-FR"/>
        </w:rPr>
        <w:t xml:space="preserve">. </w:t>
      </w:r>
    </w:p>
    <w:p w14:paraId="63B45C44" w14:textId="77777777" w:rsidR="00A26279" w:rsidRPr="000E673C" w:rsidRDefault="00A26279" w:rsidP="007F1DD2">
      <w:pPr>
        <w:jc w:val="both"/>
        <w:rPr>
          <w:color w:val="000000"/>
          <w:lang w:val="fr-FR"/>
        </w:rPr>
      </w:pPr>
    </w:p>
    <w:p w14:paraId="770DCFEB" w14:textId="7C253326" w:rsidR="00A26279" w:rsidRPr="000E673C" w:rsidRDefault="00A26279" w:rsidP="00D87301">
      <w:pPr>
        <w:jc w:val="both"/>
        <w:rPr>
          <w:lang w:val="fr-FR"/>
        </w:rPr>
      </w:pPr>
      <w:r w:rsidRPr="000E673C">
        <w:rPr>
          <w:color w:val="000000"/>
          <w:lang w:val="fr-FR"/>
        </w:rPr>
        <w:t>Les signes en cause sont visuellement, phonétiquement et conceptuellement très similaires, étant donné que les deux marques ne diffèrent que par un accent</w:t>
      </w:r>
      <w:r w:rsidR="00D87301" w:rsidRPr="000E673C">
        <w:rPr>
          <w:color w:val="000000"/>
          <w:lang w:val="fr-FR"/>
        </w:rPr>
        <w:t xml:space="preserve"> dans un sens différent</w:t>
      </w:r>
      <w:r w:rsidRPr="000E673C">
        <w:rPr>
          <w:color w:val="000000"/>
          <w:lang w:val="fr-FR"/>
        </w:rPr>
        <w:t xml:space="preserve"> </w:t>
      </w:r>
      <w:r w:rsidR="00D87301" w:rsidRPr="000E673C">
        <w:rPr>
          <w:color w:val="000000"/>
          <w:lang w:val="fr-FR"/>
        </w:rPr>
        <w:t>– différence qui ne sera très probablement pas remarqués par le consommateur même faisant preuve d’un niveau d‘attention élevé étant donné qu’il doit se fier à l’image imparfaite qu’il a gardée des marques (21/11/2013, T</w:t>
      </w:r>
      <w:r w:rsidR="00D87301" w:rsidRPr="000E673C">
        <w:rPr>
          <w:rFonts w:ascii="Cambria Math" w:hAnsi="Cambria Math"/>
          <w:color w:val="000000"/>
          <w:lang w:val="fr-FR"/>
        </w:rPr>
        <w:t>‑</w:t>
      </w:r>
      <w:r w:rsidR="00D87301" w:rsidRPr="000E673C">
        <w:rPr>
          <w:color w:val="000000"/>
          <w:lang w:val="fr-FR"/>
        </w:rPr>
        <w:t xml:space="preserve">443/12, </w:t>
      </w:r>
      <w:proofErr w:type="spellStart"/>
      <w:r w:rsidR="00D87301" w:rsidRPr="000E673C">
        <w:rPr>
          <w:color w:val="000000"/>
          <w:lang w:val="fr-FR"/>
        </w:rPr>
        <w:t>ancotel</w:t>
      </w:r>
      <w:proofErr w:type="spellEnd"/>
      <w:r w:rsidR="00D87301" w:rsidRPr="000E673C">
        <w:rPr>
          <w:color w:val="000000"/>
          <w:lang w:val="fr-FR"/>
        </w:rPr>
        <w:t xml:space="preserve">. (fig.) / ACOTEL (fig.) et al, </w:t>
      </w:r>
      <w:proofErr w:type="gramStart"/>
      <w:r w:rsidR="00D87301" w:rsidRPr="000E673C">
        <w:rPr>
          <w:color w:val="000000"/>
          <w:lang w:val="fr-FR"/>
        </w:rPr>
        <w:t>EU:T</w:t>
      </w:r>
      <w:proofErr w:type="gramEnd"/>
      <w:r w:rsidR="00D87301" w:rsidRPr="000E673C">
        <w:rPr>
          <w:color w:val="000000"/>
          <w:lang w:val="fr-FR"/>
        </w:rPr>
        <w:t>:</w:t>
      </w:r>
      <w:proofErr w:type="gramStart"/>
      <w:r w:rsidR="00D87301" w:rsidRPr="000E673C">
        <w:rPr>
          <w:color w:val="000000"/>
          <w:lang w:val="fr-FR"/>
        </w:rPr>
        <w:t>2013:</w:t>
      </w:r>
      <w:proofErr w:type="gramEnd"/>
      <w:r w:rsidR="00D87301" w:rsidRPr="000E673C">
        <w:rPr>
          <w:color w:val="000000"/>
          <w:lang w:val="fr-FR"/>
        </w:rPr>
        <w:t xml:space="preserve">605, § 54) – </w:t>
      </w:r>
      <w:r w:rsidRPr="000E673C">
        <w:rPr>
          <w:color w:val="000000"/>
          <w:lang w:val="fr-FR"/>
        </w:rPr>
        <w:t>et</w:t>
      </w:r>
      <w:r w:rsidR="00D87301" w:rsidRPr="000E673C">
        <w:rPr>
          <w:color w:val="000000"/>
          <w:lang w:val="fr-FR"/>
        </w:rPr>
        <w:t xml:space="preserve"> </w:t>
      </w:r>
      <w:r w:rsidRPr="000E673C">
        <w:rPr>
          <w:color w:val="000000"/>
          <w:lang w:val="fr-FR"/>
        </w:rPr>
        <w:t xml:space="preserve">l’élément faiblement distinctif « CLUB » de la marque contestée. </w:t>
      </w:r>
    </w:p>
    <w:p w14:paraId="6CA3559F" w14:textId="77777777" w:rsidR="00A26279" w:rsidRPr="000E673C" w:rsidRDefault="00A26279" w:rsidP="007F1DD2">
      <w:pPr>
        <w:jc w:val="both"/>
        <w:rPr>
          <w:color w:val="000000"/>
          <w:lang w:val="fr-FR"/>
        </w:rPr>
      </w:pPr>
    </w:p>
    <w:p w14:paraId="0B546955" w14:textId="34C3AC07" w:rsidR="00DD3584" w:rsidRPr="000E673C" w:rsidRDefault="00A26279" w:rsidP="007F1DD2">
      <w:pPr>
        <w:jc w:val="both"/>
        <w:rPr>
          <w:color w:val="000000"/>
          <w:lang w:val="fr-FR"/>
        </w:rPr>
      </w:pPr>
      <w:r w:rsidRPr="000E673C">
        <w:rPr>
          <w:color w:val="000000"/>
          <w:lang w:val="fr-FR"/>
        </w:rPr>
        <w:t>Or, l</w:t>
      </w:r>
      <w:r w:rsidR="00B93A94" w:rsidRPr="000E673C">
        <w:rPr>
          <w:color w:val="000000"/>
          <w:lang w:val="fr-FR"/>
        </w:rPr>
        <w:t xml:space="preserve">e risque de confusion désigne les situations dans lesquelles le consommateur confond directement les marques entre elles ou fait un rapprochement entre les signes en conflit et </w:t>
      </w:r>
      <w:r w:rsidR="00B93A94" w:rsidRPr="000E673C">
        <w:rPr>
          <w:color w:val="000000"/>
          <w:lang w:val="fr-FR"/>
        </w:rPr>
        <w:lastRenderedPageBreak/>
        <w:t>suppose que les produits/services désignés proviennent de la même entreprise ou d’entreprises liées économiquement (29/09/1998, C</w:t>
      </w:r>
      <w:r w:rsidR="00B93A94" w:rsidRPr="000E673C">
        <w:rPr>
          <w:rFonts w:ascii="Cambria Math" w:hAnsi="Cambria Math"/>
          <w:color w:val="000000"/>
          <w:lang w:val="fr-FR"/>
        </w:rPr>
        <w:t>‑</w:t>
      </w:r>
      <w:r w:rsidR="00B93A94" w:rsidRPr="000E673C">
        <w:rPr>
          <w:color w:val="000000"/>
          <w:lang w:val="fr-FR"/>
        </w:rPr>
        <w:t xml:space="preserve">39/97, Canon, </w:t>
      </w:r>
      <w:proofErr w:type="gramStart"/>
      <w:r w:rsidR="00B93A94" w:rsidRPr="000E673C">
        <w:rPr>
          <w:color w:val="000000"/>
          <w:lang w:val="fr-FR"/>
        </w:rPr>
        <w:t>EU:C:1998:</w:t>
      </w:r>
      <w:proofErr w:type="gramEnd"/>
      <w:r w:rsidR="00B93A94" w:rsidRPr="000E673C">
        <w:rPr>
          <w:color w:val="000000"/>
          <w:lang w:val="fr-FR"/>
        </w:rPr>
        <w:t>442, § 29). En effet, il est tout à fait concevable que le consommateur concerné perçoive la marque contestée comme une sous-marque, une variante de la marque antérieure, configurée d’une manière différente selon le type de produits ou de services qu’elle désigne (23/10/2002, T</w:t>
      </w:r>
      <w:r w:rsidR="00B93A94" w:rsidRPr="000E673C">
        <w:rPr>
          <w:rFonts w:ascii="Cambria Math" w:hAnsi="Cambria Math" w:cs="Cambria Math"/>
          <w:color w:val="000000"/>
          <w:lang w:val="fr-FR"/>
        </w:rPr>
        <w:t>‑</w:t>
      </w:r>
      <w:r w:rsidR="00B93A94" w:rsidRPr="000E673C">
        <w:rPr>
          <w:color w:val="000000"/>
          <w:lang w:val="fr-FR"/>
        </w:rPr>
        <w:t xml:space="preserve">104/01, Miss Fifties (fig.) / Fifties, </w:t>
      </w:r>
      <w:proofErr w:type="gramStart"/>
      <w:r w:rsidR="00B93A94" w:rsidRPr="000E673C">
        <w:rPr>
          <w:color w:val="000000"/>
          <w:lang w:val="fr-FR"/>
        </w:rPr>
        <w:t>EU:T</w:t>
      </w:r>
      <w:proofErr w:type="gramEnd"/>
      <w:r w:rsidR="00B93A94" w:rsidRPr="000E673C">
        <w:rPr>
          <w:color w:val="000000"/>
          <w:lang w:val="fr-FR"/>
        </w:rPr>
        <w:t>:</w:t>
      </w:r>
      <w:proofErr w:type="gramStart"/>
      <w:r w:rsidR="00B93A94" w:rsidRPr="000E673C">
        <w:rPr>
          <w:color w:val="000000"/>
          <w:lang w:val="fr-FR"/>
        </w:rPr>
        <w:t>2002:</w:t>
      </w:r>
      <w:proofErr w:type="gramEnd"/>
      <w:r w:rsidR="00B93A94" w:rsidRPr="000E673C">
        <w:rPr>
          <w:color w:val="000000"/>
          <w:lang w:val="fr-FR"/>
        </w:rPr>
        <w:t>262, § 49). </w:t>
      </w:r>
    </w:p>
    <w:p w14:paraId="0648FB20" w14:textId="77777777" w:rsidR="00D87301" w:rsidRPr="000E673C" w:rsidRDefault="00D87301" w:rsidP="007F1DD2">
      <w:pPr>
        <w:jc w:val="both"/>
        <w:rPr>
          <w:color w:val="000000"/>
          <w:lang w:val="fr-FR"/>
        </w:rPr>
      </w:pPr>
    </w:p>
    <w:p w14:paraId="0B54695B" w14:textId="1E971987" w:rsidR="00DD3584" w:rsidRPr="000E673C" w:rsidRDefault="00B93A94" w:rsidP="00D87301">
      <w:pPr>
        <w:jc w:val="both"/>
        <w:rPr>
          <w:lang w:val="fr-FR"/>
        </w:rPr>
      </w:pPr>
      <w:bookmarkStart w:id="26" w:name="chk-paragraph-9-3-6_nodeId-1653772757"/>
      <w:bookmarkEnd w:id="25"/>
      <w:r w:rsidRPr="000E673C">
        <w:rPr>
          <w:color w:val="000000"/>
          <w:lang w:val="fr-FR"/>
        </w:rPr>
        <w:t xml:space="preserve">À la lumière des éléments qui précèdent, il existe un risque de confusion dans l’esprit de la partie du public </w:t>
      </w:r>
      <w:r w:rsidR="00D87301" w:rsidRPr="000E673C">
        <w:rPr>
          <w:color w:val="000000"/>
          <w:lang w:val="fr-FR"/>
        </w:rPr>
        <w:t>francophone et anglophone</w:t>
      </w:r>
      <w:r w:rsidRPr="000E673C">
        <w:rPr>
          <w:color w:val="000000"/>
          <w:lang w:val="fr-FR"/>
        </w:rPr>
        <w:t>.</w:t>
      </w:r>
      <w:r w:rsidR="00D87301" w:rsidRPr="000E673C">
        <w:rPr>
          <w:color w:val="000000"/>
          <w:lang w:val="fr-FR"/>
        </w:rPr>
        <w:t xml:space="preserve"> </w:t>
      </w:r>
      <w:r w:rsidRPr="000E673C">
        <w:rPr>
          <w:color w:val="000000"/>
          <w:lang w:val="fr-FR"/>
        </w:rPr>
        <w:t>Comme indiqué ci-dessus à la section</w:t>
      </w:r>
      <w:r w:rsidR="000E673C" w:rsidRPr="000E673C">
        <w:rPr>
          <w:color w:val="000000"/>
          <w:lang w:val="fr-FR"/>
        </w:rPr>
        <w:t xml:space="preserve"> </w:t>
      </w:r>
      <w:r w:rsidRPr="000E673C">
        <w:rPr>
          <w:color w:val="000000"/>
          <w:lang w:val="fr-FR"/>
        </w:rPr>
        <w:t>c) de la présente décision, l’existence d’un risque de confusion dans l’esprit d’une partie seulement du public pertinent de l’Union européenne est suffisante pour rejeter la demande contestée.</w:t>
      </w:r>
    </w:p>
    <w:p w14:paraId="0B54695C" w14:textId="1251F931" w:rsidR="00DD3584" w:rsidRPr="000E673C" w:rsidRDefault="00B93A94" w:rsidP="007F1DD2">
      <w:pPr>
        <w:jc w:val="both"/>
        <w:rPr>
          <w:lang w:val="fr-FR"/>
        </w:rPr>
      </w:pPr>
      <w:r w:rsidRPr="000E673C">
        <w:rPr>
          <w:color w:val="000000"/>
          <w:lang w:val="fr-FR"/>
        </w:rPr>
        <w:t> </w:t>
      </w:r>
    </w:p>
    <w:p w14:paraId="0B54695D" w14:textId="7CB25197" w:rsidR="00DD3584" w:rsidRPr="000E673C" w:rsidRDefault="00B93A94" w:rsidP="007F1DD2">
      <w:pPr>
        <w:jc w:val="both"/>
        <w:rPr>
          <w:lang w:val="fr-FR"/>
        </w:rPr>
      </w:pPr>
      <w:r w:rsidRPr="000E673C">
        <w:rPr>
          <w:color w:val="000000"/>
          <w:lang w:val="fr-FR"/>
        </w:rPr>
        <w:t>L’opposition est dès lors fondée sur la base de l’enregistrement</w:t>
      </w:r>
      <w:r w:rsidR="00D87301" w:rsidRPr="000E673C">
        <w:rPr>
          <w:color w:val="000000"/>
          <w:lang w:val="fr-FR"/>
        </w:rPr>
        <w:t xml:space="preserve"> d</w:t>
      </w:r>
      <w:r w:rsidRPr="000E673C">
        <w:rPr>
          <w:color w:val="000000"/>
          <w:lang w:val="fr-FR"/>
        </w:rPr>
        <w:t>e marque de l’Union européenne n° 18 564 273</w:t>
      </w:r>
      <w:r w:rsidR="00D87301" w:rsidRPr="000E673C">
        <w:rPr>
          <w:color w:val="000000"/>
          <w:lang w:val="fr-FR"/>
        </w:rPr>
        <w:t xml:space="preserve"> </w:t>
      </w:r>
      <w:r w:rsidRPr="000E673C">
        <w:rPr>
          <w:color w:val="000000"/>
          <w:lang w:val="fr-FR"/>
        </w:rPr>
        <w:t>de l’opposante. Il en résulte que la marque contestée doit être rejetée pour tous les</w:t>
      </w:r>
      <w:r w:rsidR="00D87301" w:rsidRPr="000E673C">
        <w:rPr>
          <w:color w:val="000000"/>
          <w:lang w:val="fr-FR"/>
        </w:rPr>
        <w:t xml:space="preserve"> </w:t>
      </w:r>
      <w:r w:rsidRPr="000E673C">
        <w:rPr>
          <w:color w:val="000000"/>
          <w:lang w:val="fr-FR"/>
        </w:rPr>
        <w:t>produits et services</w:t>
      </w:r>
      <w:r w:rsidR="00D87301" w:rsidRPr="000E673C">
        <w:rPr>
          <w:color w:val="000000"/>
          <w:lang w:val="fr-FR"/>
        </w:rPr>
        <w:t xml:space="preserve"> </w:t>
      </w:r>
      <w:r w:rsidRPr="000E673C">
        <w:rPr>
          <w:color w:val="000000"/>
          <w:lang w:val="fr-FR"/>
        </w:rPr>
        <w:t>contestés.</w:t>
      </w:r>
    </w:p>
    <w:p w14:paraId="33863B95" w14:textId="77777777" w:rsidR="00D87301" w:rsidRPr="000E673C" w:rsidRDefault="00D87301" w:rsidP="007F1DD2">
      <w:pPr>
        <w:jc w:val="both"/>
        <w:rPr>
          <w:color w:val="000000"/>
          <w:lang w:val="fr-FR"/>
        </w:rPr>
      </w:pPr>
      <w:bookmarkStart w:id="27" w:name="chk-paragraph-9-3-6-2_nodeId-1975168753"/>
      <w:bookmarkEnd w:id="26"/>
    </w:p>
    <w:p w14:paraId="0B546969" w14:textId="614BE6CC" w:rsidR="00DD3584" w:rsidRPr="000E673C" w:rsidRDefault="00B93A94" w:rsidP="007F1DD2">
      <w:pPr>
        <w:jc w:val="both"/>
        <w:rPr>
          <w:lang w:val="fr-FR"/>
        </w:rPr>
      </w:pPr>
      <w:r w:rsidRPr="000E673C">
        <w:rPr>
          <w:color w:val="000000"/>
          <w:lang w:val="fr-FR"/>
        </w:rPr>
        <w:t xml:space="preserve">Étant donné que </w:t>
      </w:r>
      <w:r w:rsidR="00D87301" w:rsidRPr="000E673C">
        <w:rPr>
          <w:color w:val="000000"/>
          <w:lang w:val="fr-FR"/>
        </w:rPr>
        <w:t>la marque de l’Union européenne n° 18 564 273</w:t>
      </w:r>
      <w:r w:rsidRPr="000E673C">
        <w:rPr>
          <w:color w:val="000000"/>
          <w:lang w:val="fr-FR"/>
        </w:rPr>
        <w:t xml:space="preserve"> </w:t>
      </w:r>
      <w:proofErr w:type="gramStart"/>
      <w:r w:rsidRPr="000E673C">
        <w:rPr>
          <w:color w:val="000000"/>
          <w:lang w:val="fr-FR"/>
        </w:rPr>
        <w:t>conduit</w:t>
      </w:r>
      <w:proofErr w:type="gramEnd"/>
      <w:r w:rsidRPr="000E673C">
        <w:rPr>
          <w:color w:val="000000"/>
          <w:lang w:val="fr-FR"/>
        </w:rPr>
        <w:t xml:space="preserve"> à l’acceptation de l’opposition et au rejet de la marque contestée pour tous les</w:t>
      </w:r>
      <w:r w:rsidR="00D87301" w:rsidRPr="000E673C">
        <w:rPr>
          <w:color w:val="000000"/>
          <w:lang w:val="fr-FR"/>
        </w:rPr>
        <w:t xml:space="preserve"> </w:t>
      </w:r>
      <w:r w:rsidRPr="000E673C">
        <w:rPr>
          <w:color w:val="000000"/>
          <w:lang w:val="fr-FR"/>
        </w:rPr>
        <w:t>produits et services</w:t>
      </w:r>
      <w:r w:rsidR="00D87301" w:rsidRPr="000E673C">
        <w:rPr>
          <w:color w:val="000000"/>
          <w:lang w:val="fr-FR"/>
        </w:rPr>
        <w:t xml:space="preserve"> </w:t>
      </w:r>
      <w:r w:rsidRPr="000E673C">
        <w:rPr>
          <w:color w:val="000000"/>
          <w:lang w:val="fr-FR"/>
        </w:rPr>
        <w:t>contre lesquels l’opposition était formée, il n’est pas nécessaire d’examiner les autres droits antérieurs invoqués par l’opposante (</w:t>
      </w:r>
      <w:bookmarkStart w:id="28" w:name="isPasted"/>
      <w:r w:rsidRPr="000E673C">
        <w:rPr>
          <w:color w:val="000000"/>
          <w:lang w:val="fr-FR"/>
        </w:rPr>
        <w:t xml:space="preserve">16/09/2004, T-342/02, Moser Grupo Media, </w:t>
      </w:r>
      <w:proofErr w:type="spellStart"/>
      <w:r w:rsidRPr="000E673C">
        <w:rPr>
          <w:color w:val="000000"/>
          <w:lang w:val="fr-FR"/>
        </w:rPr>
        <w:t>s.l</w:t>
      </w:r>
      <w:proofErr w:type="spellEnd"/>
      <w:r w:rsidRPr="000E673C">
        <w:rPr>
          <w:color w:val="000000"/>
          <w:lang w:val="fr-FR"/>
        </w:rPr>
        <w:t xml:space="preserve">. / MGM, </w:t>
      </w:r>
      <w:proofErr w:type="gramStart"/>
      <w:r w:rsidRPr="000E673C">
        <w:rPr>
          <w:color w:val="000000"/>
          <w:lang w:val="fr-FR"/>
        </w:rPr>
        <w:t>EU:T</w:t>
      </w:r>
      <w:proofErr w:type="gramEnd"/>
      <w:r w:rsidRPr="000E673C">
        <w:rPr>
          <w:color w:val="000000"/>
          <w:lang w:val="fr-FR"/>
        </w:rPr>
        <w:t>:</w:t>
      </w:r>
      <w:proofErr w:type="gramStart"/>
      <w:r w:rsidRPr="000E673C">
        <w:rPr>
          <w:color w:val="000000"/>
          <w:lang w:val="fr-FR"/>
        </w:rPr>
        <w:t>2004:</w:t>
      </w:r>
      <w:proofErr w:type="gramEnd"/>
      <w:r w:rsidRPr="000E673C">
        <w:rPr>
          <w:color w:val="000000"/>
          <w:lang w:val="fr-FR"/>
        </w:rPr>
        <w:t>268</w:t>
      </w:r>
      <w:bookmarkEnd w:id="28"/>
      <w:r w:rsidRPr="000E673C">
        <w:rPr>
          <w:color w:val="000000"/>
          <w:lang w:val="fr-FR"/>
        </w:rPr>
        <w:t>).</w:t>
      </w:r>
      <w:r w:rsidR="00D87301" w:rsidRPr="000E673C">
        <w:rPr>
          <w:color w:val="000000"/>
          <w:lang w:val="fr-FR"/>
        </w:rPr>
        <w:t xml:space="preserve"> </w:t>
      </w:r>
      <w:bookmarkStart w:id="29" w:name="chk-paragraph-9-3-6-3_nodeId--268314442"/>
      <w:bookmarkEnd w:id="27"/>
      <w:r w:rsidR="00D87301" w:rsidRPr="000E673C">
        <w:rPr>
          <w:color w:val="000000"/>
          <w:lang w:val="fr-FR"/>
        </w:rPr>
        <w:t>De même que l</w:t>
      </w:r>
      <w:r w:rsidRPr="000E673C">
        <w:rPr>
          <w:color w:val="000000"/>
          <w:lang w:val="fr-FR"/>
        </w:rPr>
        <w:t>’opposition étant accueillie dans son intégralité sur la base du motif énoncé</w:t>
      </w:r>
      <w:r w:rsidR="00D87301" w:rsidRPr="000E673C">
        <w:rPr>
          <w:color w:val="000000"/>
          <w:lang w:val="fr-FR"/>
        </w:rPr>
        <w:t xml:space="preserve"> </w:t>
      </w:r>
      <w:r w:rsidRPr="000E673C">
        <w:rPr>
          <w:color w:val="000000"/>
          <w:lang w:val="fr-FR"/>
        </w:rPr>
        <w:t>à</w:t>
      </w:r>
      <w:r w:rsidR="00D87301" w:rsidRPr="000E673C">
        <w:rPr>
          <w:color w:val="000000"/>
          <w:lang w:val="fr-FR"/>
        </w:rPr>
        <w:t xml:space="preserve"> </w:t>
      </w:r>
      <w:r w:rsidRPr="000E673C">
        <w:rPr>
          <w:color w:val="000000"/>
          <w:lang w:val="fr-FR"/>
        </w:rPr>
        <w:t>l’article 8, paragraphe 1, point</w:t>
      </w:r>
      <w:r w:rsidR="000E673C" w:rsidRPr="000E673C">
        <w:rPr>
          <w:color w:val="000000"/>
          <w:lang w:val="fr-FR"/>
        </w:rPr>
        <w:t xml:space="preserve"> </w:t>
      </w:r>
      <w:r w:rsidRPr="000E673C">
        <w:rPr>
          <w:color w:val="000000"/>
          <w:lang w:val="fr-FR"/>
        </w:rPr>
        <w:t>b) du RMUE, il n’est pas nécessaire d’examiner</w:t>
      </w:r>
      <w:r w:rsidR="00D87301" w:rsidRPr="000E673C">
        <w:rPr>
          <w:color w:val="000000"/>
          <w:lang w:val="fr-FR"/>
        </w:rPr>
        <w:t xml:space="preserve"> l’autre motif </w:t>
      </w:r>
      <w:r w:rsidRPr="000E673C">
        <w:rPr>
          <w:color w:val="000000"/>
          <w:lang w:val="fr-FR"/>
        </w:rPr>
        <w:t>sur</w:t>
      </w:r>
      <w:r w:rsidR="00D87301" w:rsidRPr="000E673C">
        <w:rPr>
          <w:color w:val="000000"/>
          <w:lang w:val="fr-FR"/>
        </w:rPr>
        <w:t xml:space="preserve"> </w:t>
      </w:r>
      <w:r w:rsidRPr="000E673C">
        <w:rPr>
          <w:color w:val="000000"/>
          <w:lang w:val="fr-FR"/>
        </w:rPr>
        <w:t>lequel</w:t>
      </w:r>
      <w:r w:rsidR="00D87301" w:rsidRPr="000E673C">
        <w:rPr>
          <w:color w:val="000000"/>
          <w:lang w:val="fr-FR"/>
        </w:rPr>
        <w:t xml:space="preserve"> l’opposante</w:t>
      </w:r>
      <w:r w:rsidRPr="000E673C">
        <w:rPr>
          <w:color w:val="000000"/>
          <w:lang w:val="fr-FR"/>
        </w:rPr>
        <w:t xml:space="preserve"> est fondée, à savoir celui</w:t>
      </w:r>
      <w:r w:rsidR="00D87301" w:rsidRPr="000E673C">
        <w:rPr>
          <w:color w:val="000000"/>
          <w:lang w:val="fr-FR"/>
        </w:rPr>
        <w:t xml:space="preserve"> prévu à l’article </w:t>
      </w:r>
      <w:r w:rsidRPr="000E673C">
        <w:rPr>
          <w:color w:val="000000"/>
          <w:lang w:val="fr-FR"/>
        </w:rPr>
        <w:t>8, paragraphe 5 du RMUE.</w:t>
      </w:r>
    </w:p>
    <w:p w14:paraId="0B54696A" w14:textId="75B434A0" w:rsidR="00DD3584" w:rsidRPr="000E673C" w:rsidRDefault="00B93A94" w:rsidP="007F1DD2">
      <w:pPr>
        <w:jc w:val="both"/>
        <w:rPr>
          <w:color w:val="000000"/>
          <w:lang w:val="fr-FR"/>
        </w:rPr>
      </w:pPr>
      <w:r w:rsidRPr="000E673C">
        <w:rPr>
          <w:color w:val="000000"/>
          <w:lang w:val="fr-FR"/>
        </w:rPr>
        <w:t> </w:t>
      </w:r>
    </w:p>
    <w:p w14:paraId="2B76ECD2" w14:textId="77777777" w:rsidR="00A77923" w:rsidRPr="000E673C" w:rsidRDefault="00A77923" w:rsidP="007F1DD2">
      <w:pPr>
        <w:jc w:val="both"/>
        <w:rPr>
          <w:lang w:val="fr-FR"/>
        </w:rPr>
      </w:pPr>
    </w:p>
    <w:p w14:paraId="0B54696B" w14:textId="77777777" w:rsidR="00DD3584" w:rsidRPr="000E673C" w:rsidRDefault="00B93A94" w:rsidP="007F1DD2">
      <w:pPr>
        <w:jc w:val="both"/>
        <w:rPr>
          <w:lang w:val="fr-FR"/>
        </w:rPr>
      </w:pPr>
      <w:bookmarkStart w:id="30" w:name="chk-paragraph-14-1_nodeId--474726698"/>
      <w:bookmarkEnd w:id="29"/>
      <w:r w:rsidRPr="000E673C">
        <w:rPr>
          <w:b/>
          <w:color w:val="000000"/>
          <w:lang w:val="fr-FR"/>
        </w:rPr>
        <w:t>FRAIS</w:t>
      </w:r>
    </w:p>
    <w:p w14:paraId="0B54696C" w14:textId="326E91C1" w:rsidR="00DD3584" w:rsidRPr="000E673C" w:rsidRDefault="00B93A94" w:rsidP="007F1DD2">
      <w:pPr>
        <w:jc w:val="both"/>
        <w:rPr>
          <w:lang w:val="fr-FR"/>
        </w:rPr>
      </w:pPr>
      <w:r w:rsidRPr="000E673C">
        <w:rPr>
          <w:color w:val="000000"/>
          <w:lang w:val="fr-FR"/>
        </w:rPr>
        <w:t> </w:t>
      </w:r>
    </w:p>
    <w:p w14:paraId="0B54696D" w14:textId="46849980" w:rsidR="00DD3584" w:rsidRPr="000E673C" w:rsidRDefault="00B93A94" w:rsidP="007F1DD2">
      <w:pPr>
        <w:jc w:val="both"/>
        <w:rPr>
          <w:lang w:val="fr-FR"/>
        </w:rPr>
      </w:pPr>
      <w:r w:rsidRPr="000E673C">
        <w:rPr>
          <w:color w:val="000000"/>
          <w:lang w:val="fr-FR"/>
        </w:rPr>
        <w:t>Conformément à l’article 109, paragraphe 1, du RMUE, la partie perdante dans une procédure d’opposition supporte les frais et taxes exposés par l’autre partie.</w:t>
      </w:r>
    </w:p>
    <w:p w14:paraId="0B54696E" w14:textId="1F969472" w:rsidR="00DD3584" w:rsidRPr="000E673C" w:rsidRDefault="00B93A94" w:rsidP="007F1DD2">
      <w:pPr>
        <w:jc w:val="both"/>
        <w:rPr>
          <w:lang w:val="fr-FR"/>
        </w:rPr>
      </w:pPr>
      <w:r w:rsidRPr="000E673C">
        <w:rPr>
          <w:color w:val="000000"/>
          <w:lang w:val="fr-FR"/>
        </w:rPr>
        <w:t> </w:t>
      </w:r>
    </w:p>
    <w:p w14:paraId="0B54696F" w14:textId="47931CF4" w:rsidR="00DD3584" w:rsidRPr="000E673C" w:rsidRDefault="00B93A94" w:rsidP="007F1DD2">
      <w:pPr>
        <w:jc w:val="both"/>
        <w:rPr>
          <w:lang w:val="fr-FR"/>
        </w:rPr>
      </w:pPr>
      <w:r w:rsidRPr="000E673C">
        <w:rPr>
          <w:color w:val="000000"/>
          <w:lang w:val="fr-FR"/>
        </w:rPr>
        <w:t>La demanderesse étant la partie perdante, elle doit supporter la taxe d’opposition ainsi que les frais exposés par l’opposante aux fins de la présente procédure.</w:t>
      </w:r>
    </w:p>
    <w:p w14:paraId="0B546970" w14:textId="77777777" w:rsidR="00DD3584" w:rsidRPr="000E673C" w:rsidRDefault="00DD3584" w:rsidP="007F1DD2">
      <w:pPr>
        <w:jc w:val="both"/>
        <w:rPr>
          <w:lang w:val="fr-FR"/>
        </w:rPr>
      </w:pPr>
    </w:p>
    <w:p w14:paraId="0B546971" w14:textId="77777777" w:rsidR="00DD3584" w:rsidRPr="000E673C" w:rsidRDefault="00B93A94" w:rsidP="007F1DD2">
      <w:pPr>
        <w:jc w:val="both"/>
        <w:rPr>
          <w:lang w:val="fr-FR"/>
        </w:rPr>
      </w:pPr>
      <w:bookmarkStart w:id="31" w:name="chk-paragraph-14-1-1_nodeId--1175928364"/>
      <w:bookmarkEnd w:id="30"/>
      <w:r w:rsidRPr="000E673C">
        <w:rPr>
          <w:color w:val="000000"/>
          <w:lang w:val="fr-FR"/>
        </w:rPr>
        <w:t>Conformément à l’article 109, paragraphes 1 et 7, du RMUE et à l’article 18, paragraphe 1, point c), sous i), du REMUE, les frais à rembourser à l’opposante sont la taxe d’opposition et les frais de représentation dont le montant est fixé dans la limite du taux maximal déterminé dans le REMUE.</w:t>
      </w:r>
    </w:p>
    <w:p w14:paraId="0B546972" w14:textId="049CB71E" w:rsidR="00DD3584" w:rsidRPr="000E673C" w:rsidRDefault="00B93A94" w:rsidP="007F1DD2">
      <w:pPr>
        <w:jc w:val="both"/>
        <w:rPr>
          <w:lang w:val="fr-FR"/>
        </w:rPr>
      </w:pPr>
      <w:r w:rsidRPr="000E673C">
        <w:rPr>
          <w:color w:val="000000"/>
          <w:lang w:val="fr-FR"/>
        </w:rPr>
        <w:t> </w:t>
      </w:r>
    </w:p>
    <w:p w14:paraId="0B546973" w14:textId="77777777" w:rsidR="00DD3584" w:rsidRPr="000E673C" w:rsidRDefault="00B93A94" w:rsidP="007F1DD2">
      <w:pPr>
        <w:jc w:val="center"/>
      </w:pPr>
      <w:bookmarkStart w:id="32" w:name="rId8"/>
      <w:bookmarkStart w:id="33" w:name="chk-paragraph-15_nodeId-1949981362"/>
      <w:bookmarkEnd w:id="31"/>
      <w:r w:rsidRPr="000E673C">
        <w:rPr>
          <w:noProof/>
        </w:rPr>
        <w:drawing>
          <wp:inline distT="0" distB="0" distL="0" distR="0" wp14:anchorId="0B546986" wp14:editId="0B546987">
            <wp:extent cx="619125" cy="628650"/>
            <wp:effectExtent l="0" t="0" r="0" b="0"/>
            <wp:docPr id="1915881012" name="Picture 191588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125" cy="628650"/>
                    </a:xfrm>
                    <a:prstGeom prst="rect">
                      <a:avLst/>
                    </a:prstGeom>
                  </pic:spPr>
                </pic:pic>
              </a:graphicData>
            </a:graphic>
          </wp:inline>
        </w:drawing>
      </w:r>
      <w:bookmarkEnd w:id="32"/>
    </w:p>
    <w:p w14:paraId="0B546974" w14:textId="58CA8F19" w:rsidR="00DD3584" w:rsidRPr="000E673C" w:rsidRDefault="00B93A94" w:rsidP="007F1DD2">
      <w:pPr>
        <w:jc w:val="both"/>
      </w:pPr>
      <w:r w:rsidRPr="000E673C">
        <w:rPr>
          <w:color w:val="000000"/>
        </w:rPr>
        <w:t> </w:t>
      </w:r>
    </w:p>
    <w:p w14:paraId="0B546975" w14:textId="5BFCDC0A" w:rsidR="00DD3584" w:rsidRPr="000E673C" w:rsidRDefault="00B93A94" w:rsidP="007F1DD2">
      <w:pPr>
        <w:jc w:val="both"/>
      </w:pPr>
      <w:r w:rsidRPr="000E673C">
        <w:rPr>
          <w:color w:val="000000"/>
        </w:rPr>
        <w:t> </w:t>
      </w:r>
    </w:p>
    <w:p w14:paraId="0B546976" w14:textId="77777777" w:rsidR="00DD3584" w:rsidRPr="000E673C" w:rsidRDefault="00B93A94" w:rsidP="007F1DD2">
      <w:pPr>
        <w:jc w:val="center"/>
      </w:pPr>
      <w:r w:rsidRPr="000E673C">
        <w:rPr>
          <w:b/>
          <w:color w:val="000000"/>
        </w:rPr>
        <w:t xml:space="preserve">La division </w:t>
      </w:r>
      <w:proofErr w:type="spellStart"/>
      <w:r w:rsidRPr="000E673C">
        <w:rPr>
          <w:b/>
          <w:color w:val="000000"/>
        </w:rPr>
        <w:t>d’opposition</w:t>
      </w:r>
      <w:proofErr w:type="spellEnd"/>
    </w:p>
    <w:p w14:paraId="0B546977" w14:textId="20B8D401" w:rsidR="00DD3584" w:rsidRPr="000E673C" w:rsidRDefault="00B93A94" w:rsidP="007F1DD2">
      <w:pPr>
        <w:jc w:val="both"/>
      </w:pPr>
      <w:r w:rsidRPr="000E673C">
        <w:rPr>
          <w:color w:val="000000"/>
        </w:rPr>
        <w:t> </w:t>
      </w:r>
    </w:p>
    <w:p w14:paraId="0B546978" w14:textId="2C1FEB35" w:rsidR="00DD3584" w:rsidRPr="000E673C" w:rsidRDefault="00B93A94" w:rsidP="007F1DD2">
      <w:pPr>
        <w:jc w:val="both"/>
      </w:pPr>
      <w:r w:rsidRPr="000E673C">
        <w:rPr>
          <w:color w:val="000000"/>
        </w:rPr>
        <w:t> </w:t>
      </w:r>
    </w:p>
    <w:tbl>
      <w:tblPr>
        <w:tblW w:w="0" w:type="auto"/>
        <w:tblCellSpacing w:w="0" w:type="auto"/>
        <w:tblLook w:val="04A0" w:firstRow="1" w:lastRow="0" w:firstColumn="1" w:lastColumn="0" w:noHBand="0" w:noVBand="1"/>
      </w:tblPr>
      <w:tblGrid>
        <w:gridCol w:w="3089"/>
        <w:gridCol w:w="2959"/>
        <w:gridCol w:w="2979"/>
      </w:tblGrid>
      <w:tr w:rsidR="00DD3584" w:rsidRPr="000E673C" w14:paraId="0B54697E" w14:textId="77777777">
        <w:trPr>
          <w:trHeight w:val="30"/>
          <w:tblCellSpacing w:w="0" w:type="auto"/>
        </w:trPr>
        <w:tc>
          <w:tcPr>
            <w:tcW w:w="3779" w:type="dxa"/>
            <w:tcMar>
              <w:top w:w="15" w:type="dxa"/>
              <w:left w:w="15" w:type="dxa"/>
              <w:bottom w:w="15" w:type="dxa"/>
              <w:right w:w="15" w:type="dxa"/>
            </w:tcMar>
            <w:vAlign w:val="center"/>
          </w:tcPr>
          <w:p w14:paraId="0B54697A" w14:textId="3814B9E4" w:rsidR="00DD3584" w:rsidRPr="000E673C" w:rsidRDefault="00D87301" w:rsidP="007F1DD2">
            <w:pPr>
              <w:ind w:left="15"/>
              <w:jc w:val="center"/>
            </w:pPr>
            <w:bookmarkStart w:id="34" w:name="docx4j_tbl_0"/>
            <w:r w:rsidRPr="000E673C">
              <w:rPr>
                <w:color w:val="000000"/>
              </w:rPr>
              <w:t>Marine DARTEYRE</w:t>
            </w:r>
          </w:p>
        </w:tc>
        <w:tc>
          <w:tcPr>
            <w:tcW w:w="3780" w:type="dxa"/>
            <w:tcMar>
              <w:top w:w="15" w:type="dxa"/>
              <w:left w:w="15" w:type="dxa"/>
              <w:bottom w:w="15" w:type="dxa"/>
              <w:right w:w="15" w:type="dxa"/>
            </w:tcMar>
            <w:vAlign w:val="center"/>
          </w:tcPr>
          <w:p w14:paraId="0B54697B" w14:textId="77777777" w:rsidR="00DD3584" w:rsidRPr="000E673C" w:rsidRDefault="00B93A94" w:rsidP="007F1DD2">
            <w:pPr>
              <w:ind w:left="15"/>
              <w:jc w:val="center"/>
            </w:pPr>
            <w:r w:rsidRPr="000E673C">
              <w:rPr>
                <w:color w:val="000000"/>
              </w:rPr>
              <w:t>Cindy BAREL</w:t>
            </w:r>
          </w:p>
        </w:tc>
        <w:tc>
          <w:tcPr>
            <w:tcW w:w="3780" w:type="dxa"/>
            <w:tcMar>
              <w:top w:w="15" w:type="dxa"/>
              <w:left w:w="15" w:type="dxa"/>
              <w:bottom w:w="15" w:type="dxa"/>
              <w:right w:w="15" w:type="dxa"/>
            </w:tcMar>
            <w:vAlign w:val="center"/>
          </w:tcPr>
          <w:p w14:paraId="0B54697D" w14:textId="615571B0" w:rsidR="00DD3584" w:rsidRPr="000E673C" w:rsidRDefault="00E8635D" w:rsidP="007F1DD2">
            <w:pPr>
              <w:ind w:left="15"/>
              <w:jc w:val="center"/>
            </w:pPr>
            <w:r w:rsidRPr="000E673C">
              <w:rPr>
                <w:color w:val="000000"/>
              </w:rPr>
              <w:t>Jorge IBOR QUÍLEZ</w:t>
            </w:r>
          </w:p>
        </w:tc>
      </w:tr>
    </w:tbl>
    <w:bookmarkEnd w:id="34"/>
    <w:p w14:paraId="0B54697F" w14:textId="0D3B66D9" w:rsidR="00DD3584" w:rsidRPr="000E673C" w:rsidRDefault="00B93A94" w:rsidP="007F1DD2">
      <w:pPr>
        <w:jc w:val="both"/>
      </w:pPr>
      <w:r w:rsidRPr="000E673C">
        <w:rPr>
          <w:color w:val="000000"/>
        </w:rPr>
        <w:t> </w:t>
      </w:r>
    </w:p>
    <w:p w14:paraId="67014CEA" w14:textId="77777777" w:rsidR="000E673C" w:rsidRPr="000E673C" w:rsidRDefault="00B93A94" w:rsidP="007F1DD2">
      <w:pPr>
        <w:jc w:val="both"/>
        <w:rPr>
          <w:color w:val="000000"/>
          <w:lang w:val="fr-FR"/>
        </w:rPr>
      </w:pPr>
      <w:bookmarkStart w:id="35" w:name="chk-paragraph-17_nodeId-1939635670"/>
      <w:bookmarkEnd w:id="33"/>
      <w:r w:rsidRPr="000E673C">
        <w:rPr>
          <w:color w:val="000000"/>
          <w:lang w:val="fr-FR"/>
        </w:rPr>
        <w:t xml:space="preserve">Conformément à l’article 67, du RMUE, toute partie lésée par cette décision peut former un recours à son encontre. Conformément à l’article 68 du RMUE, le recours doit être formé par écrit auprès de l’Office dans un délai de deux mois à compter du jour de la notification de la présente décision. Il doit être déposé dans la langue de procédure de la décision attaquée. En outre, un mémoire exposant les motifs du recours doit être déposé par écrit dans un délai </w:t>
      </w:r>
      <w:r w:rsidRPr="000E673C">
        <w:rPr>
          <w:color w:val="000000"/>
          <w:lang w:val="fr-FR"/>
        </w:rPr>
        <w:lastRenderedPageBreak/>
        <w:t>de quatre mois à compter de cette même date. Le recours n’est considéré comme formé qu’après paiement de la taxe de recours de 720 EUR.</w:t>
      </w:r>
      <w:bookmarkEnd w:id="35"/>
    </w:p>
    <w:sectPr w:rsidR="000E673C" w:rsidRPr="000E673C">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452D" w14:textId="77777777" w:rsidR="000E20A1" w:rsidRDefault="000E20A1">
      <w:r>
        <w:separator/>
      </w:r>
    </w:p>
  </w:endnote>
  <w:endnote w:type="continuationSeparator" w:id="0">
    <w:p w14:paraId="62E78C43" w14:textId="77777777" w:rsidR="000E20A1" w:rsidRDefault="000E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D1A9" w14:textId="77777777" w:rsidR="000E673C" w:rsidRDefault="000E67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DBDA" w14:textId="77777777" w:rsidR="000E673C" w:rsidRDefault="000E673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B569" w14:textId="77777777" w:rsidR="000E673C" w:rsidRDefault="000E67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0475" w14:textId="77777777" w:rsidR="000E20A1" w:rsidRDefault="000E20A1">
      <w:r>
        <w:separator/>
      </w:r>
    </w:p>
  </w:footnote>
  <w:footnote w:type="continuationSeparator" w:id="0">
    <w:p w14:paraId="24528895" w14:textId="77777777" w:rsidR="000E20A1" w:rsidRDefault="000E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BB5F" w14:textId="77777777" w:rsidR="000E673C" w:rsidRDefault="000E67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6988" w14:textId="77777777" w:rsidR="00DD3584" w:rsidRPr="002E78D8" w:rsidRDefault="00B93A94">
    <w:pPr>
      <w:pBdr>
        <w:bottom w:val="single" w:sz="6" w:space="1" w:color="595959"/>
      </w:pBdr>
      <w:tabs>
        <w:tab w:val="right" w:pos="9000"/>
      </w:tabs>
      <w:rPr>
        <w:lang w:val="fr-FR"/>
      </w:rPr>
    </w:pPr>
    <w:r w:rsidRPr="002E78D8">
      <w:rPr>
        <w:lang w:val="fr-FR"/>
      </w:rPr>
      <w:t xml:space="preserve">Décision sur l’opposition n° </w:t>
    </w:r>
    <w:r w:rsidRPr="002E78D8">
      <w:rPr>
        <w:b/>
        <w:bCs/>
        <w:lang w:val="fr-FR"/>
      </w:rPr>
      <w:t>B 3 233 153</w:t>
    </w:r>
    <w:r w:rsidRPr="002E78D8">
      <w:rPr>
        <w:lang w:val="fr-FR"/>
      </w:rPr>
      <w:tab/>
      <w:t xml:space="preserve">Page </w:t>
    </w:r>
    <w:r>
      <w:fldChar w:fldCharType="begin"/>
    </w:r>
    <w:r w:rsidRPr="002E78D8">
      <w:rPr>
        <w:lang w:val="fr-FR"/>
      </w:rPr>
      <w:instrText>PAGE</w:instrText>
    </w:r>
    <w:r>
      <w:fldChar w:fldCharType="separate"/>
    </w:r>
    <w:r w:rsidRPr="002E78D8">
      <w:rPr>
        <w:lang w:val="fr-FR"/>
      </w:rPr>
      <w:t>1</w:t>
    </w:r>
    <w:r>
      <w:fldChar w:fldCharType="end"/>
    </w:r>
    <w:r w:rsidRPr="002E78D8">
      <w:rPr>
        <w:lang w:val="fr-FR"/>
      </w:rPr>
      <w:t xml:space="preserve"> sur </w:t>
    </w:r>
    <w:r>
      <w:fldChar w:fldCharType="begin"/>
    </w:r>
    <w:r w:rsidRPr="002E78D8">
      <w:rPr>
        <w:lang w:val="fr-FR"/>
      </w:rPr>
      <w:instrText>NUMPAGES</w:instrText>
    </w:r>
    <w:r>
      <w:fldChar w:fldCharType="separate"/>
    </w:r>
    <w:r w:rsidRPr="002E78D8">
      <w:rPr>
        <w:lang w:val="fr-FR"/>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6989" w14:textId="77777777" w:rsidR="00DD3584" w:rsidRDefault="00B93A94">
    <w:r>
      <w:rPr>
        <w:noProof/>
      </w:rPr>
      <w:drawing>
        <wp:inline distT="0" distB="0" distL="0" distR="0" wp14:anchorId="0B54698C" wp14:editId="0B54698D">
          <wp:extent cx="1587500" cy="398159"/>
          <wp:effectExtent l="0" t="0" r="0" b="0"/>
          <wp:docPr id="1"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1"/>
                  <a:stretch>
                    <a:fillRect/>
                  </a:stretch>
                </pic:blipFill>
                <pic:spPr>
                  <a:xfrm>
                    <a:off x="0" y="0"/>
                    <a:ext cx="1587500" cy="398159"/>
                  </a:xfrm>
                  <a:prstGeom prst="rect">
                    <a:avLst/>
                  </a:prstGeom>
                </pic:spPr>
              </pic:pic>
            </a:graphicData>
          </a:graphic>
        </wp:inline>
      </w:drawing>
    </w:r>
  </w:p>
  <w:p w14:paraId="0B54698A" w14:textId="77777777" w:rsidR="00DD3584" w:rsidRDefault="00B93A94">
    <w:pPr>
      <w:pBdr>
        <w:bottom w:val="single" w:sz="6" w:space="1" w:color="595959"/>
      </w:pBdr>
      <w:jc w:val="right"/>
    </w:pPr>
    <w:r>
      <w:rPr>
        <w:color w:val="595959"/>
        <w:sz w:val="18"/>
      </w:rPr>
      <w:t>DIVISION D’OPPOSITION</w:t>
    </w:r>
  </w:p>
  <w:p w14:paraId="0B54698B" w14:textId="77777777" w:rsidR="00DD3584" w:rsidRDefault="00DD3584">
    <w:pPr>
      <w:spacing w:before="40"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B56506"/>
    <w:multiLevelType w:val="multilevel"/>
    <w:tmpl w:val="C3E01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6266396">
    <w:abstractNumId w:val="2"/>
  </w:num>
  <w:num w:numId="2" w16cid:durableId="49961576">
    <w:abstractNumId w:val="0"/>
  </w:num>
  <w:num w:numId="3" w16cid:durableId="224755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84"/>
    <w:rsid w:val="00022C11"/>
    <w:rsid w:val="000943B2"/>
    <w:rsid w:val="000E20A1"/>
    <w:rsid w:val="000E673C"/>
    <w:rsid w:val="00130BB5"/>
    <w:rsid w:val="00176BF9"/>
    <w:rsid w:val="00194F3B"/>
    <w:rsid w:val="00197DE7"/>
    <w:rsid w:val="001A6D5E"/>
    <w:rsid w:val="001C770B"/>
    <w:rsid w:val="002600B9"/>
    <w:rsid w:val="002C1FB2"/>
    <w:rsid w:val="002D2E61"/>
    <w:rsid w:val="002E78AD"/>
    <w:rsid w:val="002E78D8"/>
    <w:rsid w:val="003A4319"/>
    <w:rsid w:val="003A5ADC"/>
    <w:rsid w:val="004553DE"/>
    <w:rsid w:val="006134C1"/>
    <w:rsid w:val="00721EE3"/>
    <w:rsid w:val="007F1DD2"/>
    <w:rsid w:val="00832E1D"/>
    <w:rsid w:val="0089499B"/>
    <w:rsid w:val="008A2214"/>
    <w:rsid w:val="008C6DCB"/>
    <w:rsid w:val="009D1E11"/>
    <w:rsid w:val="00A26279"/>
    <w:rsid w:val="00A77923"/>
    <w:rsid w:val="00B7797B"/>
    <w:rsid w:val="00B93A94"/>
    <w:rsid w:val="00BD6423"/>
    <w:rsid w:val="00D63688"/>
    <w:rsid w:val="00D74794"/>
    <w:rsid w:val="00D87301"/>
    <w:rsid w:val="00DD3584"/>
    <w:rsid w:val="00E53248"/>
    <w:rsid w:val="00E54C4D"/>
    <w:rsid w:val="00E8635D"/>
    <w:rsid w:val="00EF04B4"/>
    <w:rsid w:val="00EF3EB2"/>
    <w:rsid w:val="00F56DFB"/>
    <w:rsid w:val="00F952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67D1"/>
  <w15:docId w15:val="{A5333D1D-8457-450C-9251-9E422B49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Titre1">
    <w:name w:val="heading 1"/>
    <w:basedOn w:val="Normal"/>
    <w:next w:val="Normal"/>
    <w:link w:val="Titre1C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re2">
    <w:name w:val="heading 2"/>
    <w:basedOn w:val="Normal"/>
    <w:next w:val="Normal"/>
    <w:link w:val="Titre2C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re3">
    <w:name w:val="heading 3"/>
    <w:basedOn w:val="Normal"/>
    <w:next w:val="Normal"/>
    <w:link w:val="Titre3C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re4">
    <w:name w:val="heading 4"/>
    <w:basedOn w:val="Normal"/>
    <w:next w:val="Normal"/>
    <w:link w:val="Titre4C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CD9"/>
    <w:pPr>
      <w:tabs>
        <w:tab w:val="center" w:pos="4680"/>
        <w:tab w:val="right" w:pos="9360"/>
      </w:tabs>
    </w:pPr>
  </w:style>
  <w:style w:type="character" w:customStyle="1" w:styleId="En-tteCar">
    <w:name w:val="En-tête Car"/>
    <w:basedOn w:val="Policepardfaut"/>
    <w:link w:val="En-tte"/>
    <w:uiPriority w:val="99"/>
    <w:rsid w:val="00841CD9"/>
  </w:style>
  <w:style w:type="character" w:customStyle="1" w:styleId="Titre1Car">
    <w:name w:val="Titre 1 Car"/>
    <w:basedOn w:val="Policepardfaut"/>
    <w:link w:val="Titre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Titre2Car">
    <w:name w:val="Titre 2 Car"/>
    <w:basedOn w:val="Policepardfaut"/>
    <w:link w:val="Titre2"/>
    <w:uiPriority w:val="9"/>
    <w:rsid w:val="00841CD9"/>
    <w:rPr>
      <w:rFonts w:asciiTheme="majorHAnsi" w:eastAsiaTheme="majorEastAsia" w:hAnsiTheme="majorHAnsi" w:cstheme="majorBidi"/>
      <w:b/>
      <w:bCs/>
      <w:color w:val="156082" w:themeColor="accent1"/>
      <w:sz w:val="26"/>
      <w:szCs w:val="26"/>
    </w:rPr>
  </w:style>
  <w:style w:type="character" w:customStyle="1" w:styleId="Titre3Car">
    <w:name w:val="Titre 3 Car"/>
    <w:basedOn w:val="Policepardfaut"/>
    <w:link w:val="Titre3"/>
    <w:uiPriority w:val="9"/>
    <w:rsid w:val="00841CD9"/>
    <w:rPr>
      <w:rFonts w:asciiTheme="majorHAnsi" w:eastAsiaTheme="majorEastAsia" w:hAnsiTheme="majorHAnsi" w:cstheme="majorBidi"/>
      <w:b/>
      <w:bCs/>
      <w:color w:val="156082" w:themeColor="accent1"/>
    </w:rPr>
  </w:style>
  <w:style w:type="character" w:customStyle="1" w:styleId="Titre4Car">
    <w:name w:val="Titre 4 Car"/>
    <w:basedOn w:val="Policepardfaut"/>
    <w:link w:val="Titre4"/>
    <w:uiPriority w:val="9"/>
    <w:rsid w:val="00841CD9"/>
    <w:rPr>
      <w:rFonts w:asciiTheme="majorHAnsi" w:eastAsiaTheme="majorEastAsia" w:hAnsiTheme="majorHAnsi" w:cstheme="majorBidi"/>
      <w:b/>
      <w:bCs/>
      <w:i/>
      <w:iCs/>
      <w:color w:val="156082" w:themeColor="accent1"/>
    </w:rPr>
  </w:style>
  <w:style w:type="paragraph" w:styleId="Retraitnormal">
    <w:name w:val="Normal Indent"/>
    <w:basedOn w:val="Normal"/>
    <w:uiPriority w:val="99"/>
    <w:unhideWhenUsed/>
    <w:rsid w:val="00841CD9"/>
    <w:pPr>
      <w:ind w:left="720"/>
    </w:pPr>
  </w:style>
  <w:style w:type="paragraph" w:styleId="Sous-titre">
    <w:name w:val="Subtitle"/>
    <w:basedOn w:val="Normal"/>
    <w:next w:val="Normal"/>
    <w:link w:val="Sous-titreC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us-titreCar">
    <w:name w:val="Sous-titre Car"/>
    <w:basedOn w:val="Policepardfaut"/>
    <w:link w:val="Sous-titre"/>
    <w:uiPriority w:val="11"/>
    <w:rsid w:val="00841CD9"/>
    <w:rPr>
      <w:rFonts w:asciiTheme="majorHAnsi" w:eastAsiaTheme="majorEastAsia" w:hAnsiTheme="majorHAnsi" w:cstheme="majorBidi"/>
      <w:i/>
      <w:iCs/>
      <w:color w:val="156082" w:themeColor="accent1"/>
      <w:spacing w:val="15"/>
      <w:sz w:val="24"/>
      <w:szCs w:val="24"/>
    </w:rPr>
  </w:style>
  <w:style w:type="paragraph" w:styleId="Titre">
    <w:name w:val="Title"/>
    <w:basedOn w:val="Normal"/>
    <w:next w:val="Normal"/>
    <w:link w:val="TitreC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ccentuation">
    <w:name w:val="Emphasis"/>
    <w:basedOn w:val="Policepardfaut"/>
    <w:uiPriority w:val="20"/>
    <w:qFormat/>
    <w:rsid w:val="00D1197D"/>
    <w:rPr>
      <w:i/>
      <w:iCs/>
    </w:rPr>
  </w:style>
  <w:style w:type="character" w:styleId="Lienhypertexte">
    <w:name w:val="Hyperlink"/>
    <w:basedOn w:val="Policepardfaut"/>
    <w:uiPriority w:val="99"/>
    <w:unhideWhenUsed/>
    <w:rPr>
      <w:color w:val="467886" w:themeColor="hyperlink"/>
      <w:u w:val="single"/>
    </w:r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rsid w:val="007109C0"/>
    <w:rPr>
      <w:b/>
      <w:bCs/>
      <w:color w:val="156082" w:themeColor="accent1"/>
      <w:sz w:val="18"/>
      <w:szCs w:val="18"/>
    </w:rPr>
  </w:style>
  <w:style w:type="character" w:styleId="Marquedecommentaire">
    <w:name w:val="annotation reference"/>
    <w:basedOn w:val="Policepardfaut"/>
    <w:uiPriority w:val="99"/>
    <w:semiHidden/>
    <w:unhideWhenUsed/>
    <w:rsid w:val="00197DE7"/>
    <w:rPr>
      <w:sz w:val="16"/>
      <w:szCs w:val="16"/>
    </w:rPr>
  </w:style>
  <w:style w:type="paragraph" w:styleId="Commentaire">
    <w:name w:val="annotation text"/>
    <w:basedOn w:val="Normal"/>
    <w:link w:val="CommentaireCar"/>
    <w:uiPriority w:val="99"/>
    <w:unhideWhenUsed/>
    <w:rsid w:val="00197DE7"/>
    <w:rPr>
      <w:sz w:val="20"/>
    </w:rPr>
  </w:style>
  <w:style w:type="character" w:customStyle="1" w:styleId="CommentaireCar">
    <w:name w:val="Commentaire Car"/>
    <w:basedOn w:val="Policepardfaut"/>
    <w:link w:val="Commentaire"/>
    <w:uiPriority w:val="99"/>
    <w:rsid w:val="00197DE7"/>
    <w:rPr>
      <w:sz w:val="20"/>
    </w:rPr>
  </w:style>
  <w:style w:type="paragraph" w:styleId="Objetducommentaire">
    <w:name w:val="annotation subject"/>
    <w:basedOn w:val="Commentaire"/>
    <w:next w:val="Commentaire"/>
    <w:link w:val="ObjetducommentaireCar"/>
    <w:uiPriority w:val="99"/>
    <w:semiHidden/>
    <w:unhideWhenUsed/>
    <w:rsid w:val="00197DE7"/>
    <w:rPr>
      <w:b/>
      <w:bCs/>
    </w:rPr>
  </w:style>
  <w:style w:type="character" w:customStyle="1" w:styleId="ObjetducommentaireCar">
    <w:name w:val="Objet du commentaire Car"/>
    <w:basedOn w:val="CommentaireCar"/>
    <w:link w:val="Objetducommentaire"/>
    <w:uiPriority w:val="99"/>
    <w:semiHidden/>
    <w:rsid w:val="00197DE7"/>
    <w:rPr>
      <w:b/>
      <w:bCs/>
      <w:sz w:val="20"/>
    </w:rPr>
  </w:style>
  <w:style w:type="character" w:styleId="Mentionnonrsolue">
    <w:name w:val="Unresolved Mention"/>
    <w:basedOn w:val="Policepardfaut"/>
    <w:uiPriority w:val="99"/>
    <w:semiHidden/>
    <w:unhideWhenUsed/>
    <w:rsid w:val="00130BB5"/>
    <w:rPr>
      <w:color w:val="605E5C"/>
      <w:shd w:val="clear" w:color="auto" w:fill="E1DFDD"/>
    </w:rPr>
  </w:style>
  <w:style w:type="paragraph" w:styleId="Rvision">
    <w:name w:val="Revision"/>
    <w:hidden/>
    <w:uiPriority w:val="99"/>
    <w:unhideWhenUsed/>
    <w:rsid w:val="00721EE3"/>
  </w:style>
  <w:style w:type="paragraph" w:styleId="Pieddepage">
    <w:name w:val="footer"/>
    <w:basedOn w:val="Normal"/>
    <w:link w:val="PieddepageCar"/>
    <w:uiPriority w:val="99"/>
    <w:unhideWhenUsed/>
    <w:rsid w:val="002600B9"/>
    <w:pPr>
      <w:tabs>
        <w:tab w:val="center" w:pos="4513"/>
        <w:tab w:val="right" w:pos="9026"/>
      </w:tabs>
    </w:pPr>
  </w:style>
  <w:style w:type="character" w:customStyle="1" w:styleId="PieddepageCar">
    <w:name w:val="Pied de page Car"/>
    <w:basedOn w:val="Policepardfaut"/>
    <w:link w:val="Pieddepage"/>
    <w:uiPriority w:val="99"/>
    <w:rsid w:val="00260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UIPO Document" ma:contentTypeID="0x0101003638405F31D54BF0AAD6988508EA3598"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Subject" minOccurs="0"/>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Subject" ma:index="8" nillable="true" ma:displayName="Subject" ma:internalName="Subject">
      <xsd:simpleType>
        <xsd:restriction base="dms:Text">
</xsd:restriction>
      </xsd:simpleType>
    </xsd:element>
    <xsd:element name="Document_x0020_Identification_x0020_Number" ma:readOnly="true" ma:index="9" nillable="true" ma:displayName="Document Identification Number" ma:internalName="Document_x0020_Identification_x0020_Number">
      <xsd:simpleType>
        <xsd:restriction base="dms:Text">
</xsd:restriction>
      </xsd:simpleType>
    </xsd:element>
    <xsd:element name="Description" ma:index="10"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ject xmlns="0e656187-b300-4fb0-8bf4-3a50f872073c" xsi:nil="true"/>
    <Document_x0020_Identification_x0020_Number xmlns="0e656187-b300-4fb0-8bf4-3a50f872073c">0160734538</Document_x0020_Identification_x0020_Number>
    <Description xmlns="0e656187-b300-4fb0-8bf4-3a50f872073c" xsi:nil="true"/>
  </documentManagement>
</p:properties>
</file>

<file path=customXml/itemProps1.xml><?xml version="1.0" encoding="utf-8"?>
<ds:datastoreItem xmlns:ds="http://schemas.openxmlformats.org/officeDocument/2006/customXml" ds:itemID="{72077308-6D1B-4567-914D-ECF9E03BE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CDCA72F-5C58-4DF6-AAD3-7245B2B5DADF}">
  <ds:schemaRefs>
    <ds:schemaRef ds:uri="http://schemas.microsoft.com/sharepoint/v3/contenttype/forms"/>
  </ds:schemaRefs>
</ds:datastoreItem>
</file>

<file path=customXml/itemProps3.xml><?xml version="1.0" encoding="utf-8"?>
<ds:datastoreItem xmlns:ds="http://schemas.openxmlformats.org/officeDocument/2006/customXml" ds:itemID="{1CA304CF-9C34-4EC0-B304-CF2F36FD0D47}">
  <ds:schemaRefs>
    <ds:schemaRef ds:uri="http://schemas.microsoft.com/office/2006/metadata/properties"/>
    <ds:schemaRef ds:uri="http://schemas.microsoft.com/office/infopath/2007/PartnerControls"/>
    <ds:schemaRef ds:uri="0e656187-b300-4fb0-8bf4-3a50f872073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3483</Words>
  <Characters>19160</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B3233153-FR-HERMÉS CLUB.docx</vt:lpstr>
      <vt:lpstr>B3233153-FR-HERMÉS CLUB.docx</vt:lpstr>
    </vt:vector>
  </TitlesOfParts>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B3233153-FR-HERMÉS CLUB.docx</dc:title>
  <cp:lastModifiedBy>Julie CURTO</cp:lastModifiedBy>
  <cp:revision>2</cp:revision>
  <dcterms:created xsi:type="dcterms:W3CDTF">2025-11-19T10:40:00Z</dcterms:created>
  <dcterms:modified xsi:type="dcterms:W3CDTF">2025-11-19T10:40:00Z</dcterms:modified>
</cp:coreProperties>
</file>